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320" w:firstLineChars="100"/>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呼图壁县殡葬管理所2024年</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呼图壁县殡葬管理所</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呼图壁县殡葬管理所</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一、单位收支总体情况表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呼图壁县殡葬管理所</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宋体" w:eastAsia="仿宋_GB2312"/>
          <w:color w:val="auto"/>
          <w:kern w:val="0"/>
          <w:sz w:val="32"/>
          <w:szCs w:val="32"/>
          <w:highlight w:val="none"/>
        </w:rPr>
        <w:t>关于呼图壁县殡葬管理所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宋体" w:eastAsia="仿宋_GB2312"/>
          <w:color w:val="auto"/>
          <w:kern w:val="0"/>
          <w:sz w:val="32"/>
          <w:szCs w:val="32"/>
          <w:highlight w:val="none"/>
        </w:rPr>
        <w:t>关于呼图壁县殡葬管理所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宋体" w:eastAsia="仿宋_GB2312"/>
          <w:color w:val="auto"/>
          <w:kern w:val="0"/>
          <w:sz w:val="32"/>
          <w:szCs w:val="32"/>
          <w:highlight w:val="none"/>
        </w:rPr>
        <w:t>关于呼图壁县殡葬管理所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w:t>
      </w:r>
      <w:r>
        <w:rPr>
          <w:rFonts w:hint="eastAsia" w:ascii="仿宋_GB2312" w:hAnsi="宋体" w:eastAsia="仿宋_GB2312"/>
          <w:color w:val="auto"/>
          <w:kern w:val="0"/>
          <w:sz w:val="32"/>
          <w:szCs w:val="32"/>
          <w:highlight w:val="none"/>
        </w:rPr>
        <w:t>关于呼图壁县殡葬管理所</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宋体" w:eastAsia="仿宋_GB2312"/>
          <w:color w:val="auto"/>
          <w:kern w:val="0"/>
          <w:sz w:val="32"/>
          <w:szCs w:val="32"/>
          <w:highlight w:val="none"/>
        </w:rPr>
        <w:t>关于呼图壁县殡葬管理所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宋体" w:eastAsia="仿宋_GB2312"/>
          <w:color w:val="auto"/>
          <w:kern w:val="0"/>
          <w:sz w:val="32"/>
          <w:szCs w:val="32"/>
          <w:highlight w:val="none"/>
        </w:rPr>
        <w:t>关于呼图壁县殡葬管理所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宋体" w:eastAsia="仿宋_GB2312"/>
          <w:color w:val="auto"/>
          <w:kern w:val="0"/>
          <w:sz w:val="32"/>
          <w:szCs w:val="32"/>
          <w:highlight w:val="none"/>
        </w:rPr>
        <w:t>关于呼图壁县殡葬管理所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olor w:val="auto"/>
          <w:kern w:val="0"/>
          <w:sz w:val="32"/>
          <w:szCs w:val="32"/>
          <w:highlight w:val="none"/>
        </w:rPr>
        <w:t>关于呼图壁县殡葬管理所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宋体" w:eastAsia="仿宋_GB2312"/>
          <w:color w:val="auto"/>
          <w:kern w:val="0"/>
          <w:sz w:val="32"/>
          <w:szCs w:val="32"/>
          <w:highlight w:val="none"/>
        </w:rPr>
        <w:t>关于呼图壁县殡葬管理所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olor w:val="auto"/>
          <w:kern w:val="0"/>
          <w:sz w:val="32"/>
          <w:szCs w:val="32"/>
          <w:highlight w:val="none"/>
        </w:rPr>
        <w:t>关于呼图壁县殡葬管理所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olor w:val="auto"/>
          <w:kern w:val="0"/>
          <w:sz w:val="32"/>
          <w:szCs w:val="32"/>
          <w:highlight w:val="none"/>
        </w:rPr>
        <w:t>关于呼图壁县殡葬管理所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呼图壁县殡葬管理所</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numPr>
          <w:ilvl w:val="0"/>
          <w:numId w:val="1"/>
        </w:numPr>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主要职能</w:t>
      </w:r>
    </w:p>
    <w:p>
      <w:pPr>
        <w:keepNext w:val="0"/>
        <w:keepLines w:val="0"/>
        <w:pageBreakBefore w:val="0"/>
        <w:widowControl/>
        <w:numPr>
          <w:ilvl w:val="0"/>
          <w:numId w:val="0"/>
        </w:numPr>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宋体" w:eastAsia="仿宋_GB2312" w:cs="宋体"/>
          <w:bCs/>
          <w:color w:val="auto"/>
          <w:kern w:val="0"/>
          <w:sz w:val="32"/>
          <w:szCs w:val="32"/>
          <w:highlight w:val="none"/>
        </w:rPr>
      </w:pPr>
      <w:r>
        <w:rPr>
          <w:rFonts w:hint="eastAsia" w:ascii="仿宋_GB2312" w:hAnsi="宋体" w:eastAsia="仿宋_GB2312" w:cs="宋体"/>
          <w:bCs/>
          <w:color w:val="auto"/>
          <w:kern w:val="0"/>
          <w:sz w:val="32"/>
          <w:szCs w:val="32"/>
          <w:highlight w:val="none"/>
        </w:rPr>
        <w:t>贯彻执行国家、区、州、县殡葬管理的政策法规;掌握全县殡葬改革情况，提出建议，拟定殡葬改革规划;协调有关部门齐抓共管，确保全县殡葬管理工作规范化，协助督促检查全县殡葬改革和殡葬法规的执行情况;负责火化管理、公墓管理、丧事管理和丧葬用品市场管理等日常工作;负责殡葬改革的宣传工作，协助乡镇制止和处理丧事中的封建迷信活动。</w:t>
      </w:r>
    </w:p>
    <w:p>
      <w:pPr>
        <w:widowControl/>
        <w:spacing w:line="560" w:lineRule="exact"/>
        <w:ind w:firstLine="640"/>
        <w:jc w:val="left"/>
        <w:rPr>
          <w:rFonts w:ascii="仿宋_GB2312" w:hAnsi="宋体" w:eastAsia="仿宋_GB2312" w:cs="宋体"/>
          <w:bCs/>
          <w:color w:val="auto"/>
          <w:kern w:val="0"/>
          <w:sz w:val="32"/>
          <w:szCs w:val="32"/>
          <w:highlight w:val="none"/>
        </w:rPr>
      </w:pPr>
      <w:r>
        <w:rPr>
          <w:rFonts w:hint="eastAsia" w:ascii="仿宋_GB2312" w:hAnsi="宋体" w:eastAsia="仿宋_GB2312" w:cs="宋体"/>
          <w:bCs/>
          <w:color w:val="auto"/>
          <w:kern w:val="0"/>
          <w:sz w:val="32"/>
          <w:szCs w:val="32"/>
          <w:highlight w:val="none"/>
        </w:rPr>
        <w:t>公益一类事业单位，机构规格相当于股级。</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ascii="仿宋_GB2312" w:hAnsi="黑体" w:eastAsia="仿宋_GB2312" w:cs="宋体"/>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olor w:val="auto"/>
          <w:kern w:val="0"/>
          <w:sz w:val="32"/>
          <w:szCs w:val="32"/>
          <w:highlight w:val="none"/>
        </w:rPr>
        <w:t>呼图壁县殡葬管理所</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1</w:t>
      </w:r>
      <w:r>
        <w:rPr>
          <w:rFonts w:hint="eastAsia" w:ascii="仿宋_GB2312" w:hAnsi="黑体" w:eastAsia="仿宋_GB2312" w:cs="宋体"/>
          <w:bCs/>
          <w:color w:val="auto"/>
          <w:kern w:val="0"/>
          <w:sz w:val="32"/>
          <w:szCs w:val="32"/>
          <w:highlight w:val="none"/>
        </w:rPr>
        <w:t>个处室</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olor w:val="auto"/>
          <w:kern w:val="0"/>
          <w:sz w:val="32"/>
          <w:szCs w:val="32"/>
          <w:highlight w:val="none"/>
        </w:rPr>
        <w:t>呼图壁县殡葬管理所</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人，其中：在职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人，增加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人；退休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人；离休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由于机构转隶，殡葬管理所在职在编类及退休人员预算由民政局统一编制预算。</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default" w:ascii="仿宋_GB2312" w:hAnsi="宋体" w:eastAsia="仿宋_GB2312" w:cs="宋体"/>
          <w:color w:val="auto"/>
          <w:kern w:val="0"/>
          <w:sz w:val="32"/>
          <w:szCs w:val="32"/>
          <w:highlight w:val="none"/>
          <w:lang w:val="en-US" w:eastAsia="zh-CN"/>
        </w:rPr>
      </w:pPr>
    </w:p>
    <w:p>
      <w:pP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br w:type="page"/>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呼图壁县殡葬管理所</w:t>
      </w:r>
      <w:r>
        <w:rPr>
          <w:rFonts w:hint="eastAsia" w:ascii="仿宋_GB2312" w:hAnsi="仿宋_GB2312" w:eastAsia="仿宋_GB2312" w:cs="仿宋_GB2312"/>
          <w:b/>
          <w:color w:val="auto"/>
          <w:kern w:val="0"/>
          <w:sz w:val="32"/>
          <w:szCs w:val="32"/>
          <w:highlight w:val="none"/>
          <w:lang w:eastAsia="zh-CN"/>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呼图壁县殡葬管理所</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呼图壁县殡葬管理所</w:t>
      </w:r>
      <w:r>
        <w:rPr>
          <w:rFonts w:hint="eastAsia" w:ascii="仿宋_GB2312" w:hAnsi="宋体" w:eastAsia="仿宋_GB2312"/>
          <w:color w:val="auto"/>
          <w:kern w:val="0"/>
          <w:sz w:val="24"/>
          <w:highlight w:val="none"/>
        </w:rPr>
        <w:t xml:space="preserve">                                  单位：万元</w:t>
      </w:r>
    </w:p>
    <w:tbl>
      <w:tblPr>
        <w:tblStyle w:val="5"/>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2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211.51</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25</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209.46</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209.46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186.51</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2.05</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211.51</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211.51</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val="en-US" w:eastAsia="zh-CN"/>
        </w:rPr>
        <w:t>呼图壁县殡葬管理所</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呼图壁县殡葬管理所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870" w:type="dxa"/>
        <w:tblInd w:w="-660" w:type="dxa"/>
        <w:tblLayout w:type="fixed"/>
        <w:tblCellMar>
          <w:top w:w="0" w:type="dxa"/>
          <w:left w:w="108" w:type="dxa"/>
          <w:bottom w:w="0" w:type="dxa"/>
          <w:right w:w="108" w:type="dxa"/>
        </w:tblCellMar>
      </w:tblPr>
      <w:tblGrid>
        <w:gridCol w:w="627"/>
        <w:gridCol w:w="417"/>
        <w:gridCol w:w="417"/>
        <w:gridCol w:w="624"/>
        <w:gridCol w:w="885"/>
        <w:gridCol w:w="531"/>
        <w:gridCol w:w="828"/>
        <w:gridCol w:w="716"/>
        <w:gridCol w:w="551"/>
        <w:gridCol w:w="643"/>
        <w:gridCol w:w="631"/>
        <w:gridCol w:w="779"/>
        <w:gridCol w:w="583"/>
        <w:gridCol w:w="700"/>
        <w:gridCol w:w="431"/>
        <w:gridCol w:w="507"/>
      </w:tblGrid>
      <w:tr>
        <w:tblPrEx>
          <w:tblLayout w:type="fixed"/>
          <w:tblCellMar>
            <w:top w:w="0" w:type="dxa"/>
            <w:left w:w="108" w:type="dxa"/>
            <w:bottom w:w="0" w:type="dxa"/>
            <w:right w:w="108" w:type="dxa"/>
          </w:tblCellMar>
        </w:tblPrEx>
        <w:trPr>
          <w:trHeight w:val="697" w:hRule="atLeast"/>
        </w:trPr>
        <w:tc>
          <w:tcPr>
            <w:tcW w:w="1461"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62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8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679"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0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43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394" w:hRule="atLeast"/>
        </w:trPr>
        <w:tc>
          <w:tcPr>
            <w:tcW w:w="627" w:type="dxa"/>
            <w:tcBorders>
              <w:left w:val="single" w:color="auto" w:sz="4" w:space="0"/>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62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88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531"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28"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16"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551"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8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70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431"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201</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24"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20"/>
                <w:szCs w:val="20"/>
                <w:highlight w:val="none"/>
              </w:rPr>
            </w:pPr>
          </w:p>
        </w:tc>
        <w:tc>
          <w:tcPr>
            <w:tcW w:w="88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25</w:t>
            </w:r>
          </w:p>
        </w:tc>
        <w:tc>
          <w:tcPr>
            <w:tcW w:w="531"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p>
        </w:tc>
        <w:tc>
          <w:tcPr>
            <w:tcW w:w="82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25</w:t>
            </w:r>
          </w:p>
        </w:tc>
        <w:tc>
          <w:tcPr>
            <w:tcW w:w="716"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p>
        </w:tc>
        <w:tc>
          <w:tcPr>
            <w:tcW w:w="551"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431"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7"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04</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2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25</w:t>
            </w:r>
          </w:p>
        </w:tc>
        <w:tc>
          <w:tcPr>
            <w:tcW w:w="53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82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25</w:t>
            </w:r>
          </w:p>
        </w:tc>
        <w:tc>
          <w:tcPr>
            <w:tcW w:w="71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5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43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7"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04</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624"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25</w:t>
            </w:r>
          </w:p>
        </w:tc>
        <w:tc>
          <w:tcPr>
            <w:tcW w:w="53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82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25</w:t>
            </w:r>
          </w:p>
        </w:tc>
        <w:tc>
          <w:tcPr>
            <w:tcW w:w="71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5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43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7"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24"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186.51</w:t>
            </w:r>
          </w:p>
        </w:tc>
        <w:tc>
          <w:tcPr>
            <w:tcW w:w="53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82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186.51</w:t>
            </w:r>
          </w:p>
        </w:tc>
        <w:tc>
          <w:tcPr>
            <w:tcW w:w="71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5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2.05</w:t>
            </w:r>
          </w:p>
        </w:tc>
        <w:tc>
          <w:tcPr>
            <w:tcW w:w="43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24"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186.51</w:t>
            </w:r>
          </w:p>
        </w:tc>
        <w:tc>
          <w:tcPr>
            <w:tcW w:w="53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82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186.51</w:t>
            </w:r>
          </w:p>
        </w:tc>
        <w:tc>
          <w:tcPr>
            <w:tcW w:w="71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5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2.05</w:t>
            </w:r>
          </w:p>
        </w:tc>
        <w:tc>
          <w:tcPr>
            <w:tcW w:w="43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7"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04</w:t>
            </w:r>
            <w:r>
              <w:rPr>
                <w:rFonts w:hint="eastAsia" w:ascii="仿宋_GB2312" w:eastAsia="仿宋_GB2312"/>
                <w:color w:val="auto"/>
                <w:sz w:val="20"/>
                <w:szCs w:val="20"/>
                <w:highlight w:val="none"/>
              </w:rPr>
              <w:t>　</w:t>
            </w:r>
          </w:p>
        </w:tc>
        <w:tc>
          <w:tcPr>
            <w:tcW w:w="624"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186.51</w:t>
            </w:r>
          </w:p>
        </w:tc>
        <w:tc>
          <w:tcPr>
            <w:tcW w:w="53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82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186.51</w:t>
            </w:r>
          </w:p>
        </w:tc>
        <w:tc>
          <w:tcPr>
            <w:tcW w:w="71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5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2.05</w:t>
            </w:r>
          </w:p>
        </w:tc>
        <w:tc>
          <w:tcPr>
            <w:tcW w:w="43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24"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3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82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71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5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 xml:space="preserve"> </w:t>
            </w: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43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24"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24"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24"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24"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24"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24"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53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28"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716"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5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643"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63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779"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58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70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431"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62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24" w:type="dxa"/>
            <w:tcBorders>
              <w:top w:val="nil"/>
              <w:left w:val="nil"/>
              <w:bottom w:val="single" w:color="auto" w:sz="4" w:space="0"/>
              <w:right w:val="single" w:color="auto" w:sz="4" w:space="0"/>
            </w:tcBorders>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eastAsia="zh-CN"/>
              </w:rPr>
              <w:t>合计</w:t>
            </w: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211.51　</w:t>
            </w:r>
          </w:p>
        </w:tc>
        <w:tc>
          <w:tcPr>
            <w:tcW w:w="53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28"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211.51　</w:t>
            </w:r>
          </w:p>
        </w:tc>
        <w:tc>
          <w:tcPr>
            <w:tcW w:w="716"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5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643"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63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779"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58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700"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2.05</w:t>
            </w:r>
          </w:p>
        </w:tc>
        <w:tc>
          <w:tcPr>
            <w:tcW w:w="431"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lang w:val="en-US" w:eastAsia="zh-CN"/>
        </w:rPr>
        <w:t>呼图壁县殡葬管理所</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呼图壁县殡葬管理所</w:t>
      </w:r>
      <w:r>
        <w:rPr>
          <w:rFonts w:hint="eastAsia" w:ascii="仿宋_GB2312" w:hAnsi="宋体" w:eastAsia="仿宋_GB2312"/>
          <w:color w:val="auto"/>
          <w:kern w:val="0"/>
          <w:sz w:val="24"/>
          <w:highlight w:val="none"/>
        </w:rPr>
        <w:t xml:space="preserve">                                    单位：万元</w:t>
      </w:r>
    </w:p>
    <w:tbl>
      <w:tblPr>
        <w:tblStyle w:val="5"/>
        <w:tblW w:w="9420" w:type="dxa"/>
        <w:tblInd w:w="-240" w:type="dxa"/>
        <w:tblLayout w:type="fixed"/>
        <w:tblCellMar>
          <w:top w:w="0" w:type="dxa"/>
          <w:left w:w="108" w:type="dxa"/>
          <w:bottom w:w="0" w:type="dxa"/>
          <w:right w:w="108" w:type="dxa"/>
        </w:tblCellMar>
      </w:tblPr>
      <w:tblGrid>
        <w:gridCol w:w="519"/>
        <w:gridCol w:w="426"/>
        <w:gridCol w:w="494"/>
        <w:gridCol w:w="2399"/>
        <w:gridCol w:w="1844"/>
        <w:gridCol w:w="1845"/>
        <w:gridCol w:w="1893"/>
      </w:tblGrid>
      <w:tr>
        <w:tblPrEx>
          <w:tblLayout w:type="fixed"/>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439"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39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9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39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201</w:t>
            </w:r>
          </w:p>
        </w:tc>
        <w:tc>
          <w:tcPr>
            <w:tcW w:w="426"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49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2399"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一般公共服务支出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w:t>
            </w:r>
          </w:p>
        </w:tc>
        <w:tc>
          <w:tcPr>
            <w:tcW w:w="184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893"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w:t>
            </w: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201</w:t>
            </w:r>
          </w:p>
        </w:tc>
        <w:tc>
          <w:tcPr>
            <w:tcW w:w="426"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04</w:t>
            </w:r>
          </w:p>
        </w:tc>
        <w:tc>
          <w:tcPr>
            <w:tcW w:w="49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2399"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发展与改革事务　</w:t>
            </w:r>
          </w:p>
        </w:tc>
        <w:tc>
          <w:tcPr>
            <w:tcW w:w="1844"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w:t>
            </w:r>
          </w:p>
        </w:tc>
        <w:tc>
          <w:tcPr>
            <w:tcW w:w="184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893"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w:t>
            </w: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201</w:t>
            </w:r>
          </w:p>
        </w:tc>
        <w:tc>
          <w:tcPr>
            <w:tcW w:w="426"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04</w:t>
            </w:r>
          </w:p>
        </w:tc>
        <w:tc>
          <w:tcPr>
            <w:tcW w:w="494"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2399"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其他发展与改革事务支出　</w:t>
            </w:r>
          </w:p>
        </w:tc>
        <w:tc>
          <w:tcPr>
            <w:tcW w:w="1844"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w:t>
            </w:r>
          </w:p>
        </w:tc>
        <w:tc>
          <w:tcPr>
            <w:tcW w:w="184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893"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w:t>
            </w: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　</w:t>
            </w:r>
          </w:p>
        </w:tc>
        <w:tc>
          <w:tcPr>
            <w:tcW w:w="426"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49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2399"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社会保障和就业支出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186.51　</w:t>
            </w:r>
          </w:p>
        </w:tc>
        <w:tc>
          <w:tcPr>
            <w:tcW w:w="184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89.49　</w:t>
            </w:r>
          </w:p>
        </w:tc>
        <w:tc>
          <w:tcPr>
            <w:tcW w:w="1893"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97.02</w:t>
            </w: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　</w:t>
            </w:r>
          </w:p>
        </w:tc>
        <w:tc>
          <w:tcPr>
            <w:tcW w:w="426"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　</w:t>
            </w:r>
          </w:p>
        </w:tc>
        <w:tc>
          <w:tcPr>
            <w:tcW w:w="49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2399"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社会福利　</w:t>
            </w:r>
          </w:p>
        </w:tc>
        <w:tc>
          <w:tcPr>
            <w:tcW w:w="184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186.51　</w:t>
            </w:r>
          </w:p>
        </w:tc>
        <w:tc>
          <w:tcPr>
            <w:tcW w:w="184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89.49　</w:t>
            </w:r>
          </w:p>
        </w:tc>
        <w:tc>
          <w:tcPr>
            <w:tcW w:w="1893"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97.02</w:t>
            </w: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　</w:t>
            </w:r>
          </w:p>
        </w:tc>
        <w:tc>
          <w:tcPr>
            <w:tcW w:w="426"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　</w:t>
            </w:r>
          </w:p>
        </w:tc>
        <w:tc>
          <w:tcPr>
            <w:tcW w:w="49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04　</w:t>
            </w:r>
          </w:p>
        </w:tc>
        <w:tc>
          <w:tcPr>
            <w:tcW w:w="2399"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殡葬　</w:t>
            </w:r>
          </w:p>
        </w:tc>
        <w:tc>
          <w:tcPr>
            <w:tcW w:w="184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186.51　</w:t>
            </w:r>
          </w:p>
        </w:tc>
        <w:tc>
          <w:tcPr>
            <w:tcW w:w="184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89.49　</w:t>
            </w:r>
          </w:p>
        </w:tc>
        <w:tc>
          <w:tcPr>
            <w:tcW w:w="1893"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97.02</w:t>
            </w: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39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39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39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39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39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39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39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39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39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39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39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39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39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rPr>
                <w:color w:val="auto"/>
                <w:highlight w:val="none"/>
              </w:rPr>
            </w:pPr>
          </w:p>
        </w:tc>
        <w:tc>
          <w:tcPr>
            <w:tcW w:w="426" w:type="dxa"/>
            <w:tcBorders>
              <w:top w:val="nil"/>
              <w:left w:val="nil"/>
              <w:bottom w:val="single" w:color="auto" w:sz="4" w:space="0"/>
              <w:right w:val="single" w:color="auto" w:sz="4" w:space="0"/>
            </w:tcBorders>
            <w:vAlign w:val="center"/>
          </w:tcPr>
          <w:p>
            <w:pPr>
              <w:rPr>
                <w:color w:val="auto"/>
                <w:highlight w:val="none"/>
              </w:rPr>
            </w:pPr>
          </w:p>
        </w:tc>
        <w:tc>
          <w:tcPr>
            <w:tcW w:w="494" w:type="dxa"/>
            <w:tcBorders>
              <w:top w:val="nil"/>
              <w:left w:val="nil"/>
              <w:bottom w:val="single" w:color="auto" w:sz="4" w:space="0"/>
              <w:right w:val="single" w:color="auto" w:sz="4" w:space="0"/>
            </w:tcBorders>
            <w:vAlign w:val="center"/>
          </w:tcPr>
          <w:p>
            <w:pPr>
              <w:rPr>
                <w:color w:val="auto"/>
                <w:highlight w:val="none"/>
              </w:rPr>
            </w:pPr>
          </w:p>
        </w:tc>
        <w:tc>
          <w:tcPr>
            <w:tcW w:w="2399" w:type="dxa"/>
            <w:tcBorders>
              <w:top w:val="nil"/>
              <w:left w:val="nil"/>
              <w:bottom w:val="single" w:color="auto" w:sz="4" w:space="0"/>
              <w:right w:val="single" w:color="auto" w:sz="4" w:space="0"/>
            </w:tcBorders>
            <w:vAlign w:val="center"/>
          </w:tcPr>
          <w:p>
            <w:pPr>
              <w:rPr>
                <w:color w:val="auto"/>
                <w:highlight w:val="none"/>
              </w:rPr>
            </w:pPr>
          </w:p>
        </w:tc>
        <w:tc>
          <w:tcPr>
            <w:tcW w:w="1844" w:type="dxa"/>
            <w:tcBorders>
              <w:top w:val="nil"/>
              <w:left w:val="nil"/>
              <w:bottom w:val="single" w:color="auto" w:sz="4" w:space="0"/>
              <w:right w:val="single" w:color="auto" w:sz="4" w:space="0"/>
            </w:tcBorders>
            <w:vAlign w:val="center"/>
          </w:tcPr>
          <w:p>
            <w:pPr>
              <w:rPr>
                <w:color w:val="auto"/>
                <w:highlight w:val="none"/>
              </w:rPr>
            </w:pPr>
          </w:p>
        </w:tc>
        <w:tc>
          <w:tcPr>
            <w:tcW w:w="1845" w:type="dxa"/>
            <w:tcBorders>
              <w:top w:val="nil"/>
              <w:left w:val="nil"/>
              <w:bottom w:val="single" w:color="auto" w:sz="4" w:space="0"/>
              <w:right w:val="single" w:color="auto" w:sz="4" w:space="0"/>
            </w:tcBorders>
            <w:vAlign w:val="center"/>
          </w:tcPr>
          <w:p>
            <w:pPr>
              <w:rPr>
                <w:color w:val="auto"/>
                <w:highlight w:val="none"/>
              </w:rPr>
            </w:pPr>
          </w:p>
        </w:tc>
        <w:tc>
          <w:tcPr>
            <w:tcW w:w="1893" w:type="dxa"/>
            <w:tcBorders>
              <w:top w:val="nil"/>
              <w:left w:val="nil"/>
              <w:bottom w:val="single" w:color="auto" w:sz="4" w:space="0"/>
              <w:right w:val="single" w:color="auto" w:sz="4" w:space="0"/>
            </w:tcBorders>
            <w:vAlign w:val="center"/>
          </w:tcPr>
          <w:p>
            <w:pPr>
              <w:rPr>
                <w:color w:val="auto"/>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26"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94"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39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211.51</w:t>
            </w:r>
          </w:p>
        </w:tc>
        <w:tc>
          <w:tcPr>
            <w:tcW w:w="1845"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89.49</w:t>
            </w:r>
          </w:p>
        </w:tc>
        <w:tc>
          <w:tcPr>
            <w:tcW w:w="1893"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122.02</w:t>
            </w:r>
          </w:p>
        </w:tc>
      </w:tr>
    </w:tbl>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szCs w:val="24"/>
          <w:highlight w:val="none"/>
          <w:lang w:val="en-US" w:eastAsia="zh-CN"/>
        </w:rPr>
        <w:t>呼图壁县殡葬管理所</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单位：万元</w:t>
      </w:r>
    </w:p>
    <w:tbl>
      <w:tblPr>
        <w:tblStyle w:val="5"/>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209.46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209.46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184.46</w:t>
            </w:r>
          </w:p>
        </w:tc>
        <w:tc>
          <w:tcPr>
            <w:tcW w:w="851"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184.46</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bCs/>
                <w:color w:val="auto"/>
                <w:kern w:val="0"/>
                <w:sz w:val="20"/>
                <w:szCs w:val="20"/>
                <w:highlight w:val="none"/>
                <w:lang w:val="en-US" w:eastAsia="zh-CN" w:bidi="ar-SA"/>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bidi="ar-SA"/>
              </w:rPr>
            </w:pPr>
            <w:r>
              <w:rPr>
                <w:rFonts w:hint="eastAsia" w:ascii="仿宋_GB2312" w:hAnsi="宋体" w:eastAsia="仿宋_GB2312" w:cs="宋体"/>
                <w:b w:val="0"/>
                <w:bCs w:val="0"/>
                <w:color w:val="auto"/>
                <w:kern w:val="0"/>
                <w:sz w:val="20"/>
                <w:szCs w:val="20"/>
                <w:highlight w:val="none"/>
                <w:lang w:val="en-US" w:eastAsia="zh-CN"/>
              </w:rPr>
              <w:t>209.46</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20"/>
                <w:szCs w:val="20"/>
                <w:highlight w:val="none"/>
                <w:lang w:val="en-US" w:eastAsia="zh-CN" w:bidi="ar-SA"/>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209.46</w:t>
            </w:r>
          </w:p>
        </w:tc>
        <w:tc>
          <w:tcPr>
            <w:tcW w:w="851"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209.46</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fixed"/>
        <w:tblCellMar>
          <w:top w:w="0" w:type="dxa"/>
          <w:left w:w="108" w:type="dxa"/>
          <w:bottom w:w="0" w:type="dxa"/>
          <w:right w:w="108" w:type="dxa"/>
        </w:tblCellMar>
      </w:tblPr>
      <w:tblGrid>
        <w:gridCol w:w="568"/>
        <w:gridCol w:w="512"/>
        <w:gridCol w:w="647"/>
        <w:gridCol w:w="2590"/>
        <w:gridCol w:w="330"/>
        <w:gridCol w:w="1103"/>
        <w:gridCol w:w="137"/>
        <w:gridCol w:w="1626"/>
        <w:gridCol w:w="1701"/>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4317" w:type="dxa"/>
            <w:gridSpan w:val="4"/>
            <w:tcBorders>
              <w:top w:val="nil"/>
              <w:left w:val="nil"/>
              <w:bottom w:val="nil"/>
              <w:right w:val="nil"/>
            </w:tcBorders>
            <w:vAlign w:val="center"/>
          </w:tcPr>
          <w:p>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呼图壁县殡葬管理所</w:t>
            </w:r>
          </w:p>
        </w:tc>
        <w:tc>
          <w:tcPr>
            <w:tcW w:w="330"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4317"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897"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501" w:hRule="atLeast"/>
        </w:trPr>
        <w:tc>
          <w:tcPr>
            <w:tcW w:w="1727"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9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433"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63"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56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12"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64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9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433"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63"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201</w:t>
            </w:r>
          </w:p>
        </w:tc>
        <w:tc>
          <w:tcPr>
            <w:tcW w:w="512"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647"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259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一般公共服务支出</w:t>
            </w:r>
          </w:p>
        </w:tc>
        <w:tc>
          <w:tcPr>
            <w:tcW w:w="1433" w:type="dxa"/>
            <w:gridSpan w:val="2"/>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w:t>
            </w:r>
          </w:p>
        </w:tc>
        <w:tc>
          <w:tcPr>
            <w:tcW w:w="1763" w:type="dxa"/>
            <w:gridSpan w:val="2"/>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201</w:t>
            </w:r>
          </w:p>
        </w:tc>
        <w:tc>
          <w:tcPr>
            <w:tcW w:w="512"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04</w:t>
            </w:r>
          </w:p>
        </w:tc>
        <w:tc>
          <w:tcPr>
            <w:tcW w:w="647"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259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发展与改革事务</w:t>
            </w:r>
          </w:p>
        </w:tc>
        <w:tc>
          <w:tcPr>
            <w:tcW w:w="1433" w:type="dxa"/>
            <w:gridSpan w:val="2"/>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w:t>
            </w:r>
          </w:p>
        </w:tc>
        <w:tc>
          <w:tcPr>
            <w:tcW w:w="1763" w:type="dxa"/>
            <w:gridSpan w:val="2"/>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201</w:t>
            </w:r>
          </w:p>
        </w:tc>
        <w:tc>
          <w:tcPr>
            <w:tcW w:w="512"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04</w:t>
            </w:r>
          </w:p>
        </w:tc>
        <w:tc>
          <w:tcPr>
            <w:tcW w:w="647"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259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其他发展与改革事务支出</w:t>
            </w:r>
          </w:p>
        </w:tc>
        <w:tc>
          <w:tcPr>
            <w:tcW w:w="1433" w:type="dxa"/>
            <w:gridSpan w:val="2"/>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w:t>
            </w:r>
          </w:p>
        </w:tc>
        <w:tc>
          <w:tcPr>
            <w:tcW w:w="1763" w:type="dxa"/>
            <w:gridSpan w:val="2"/>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512"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647"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259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社会保障和就业支出</w:t>
            </w:r>
          </w:p>
        </w:tc>
        <w:tc>
          <w:tcPr>
            <w:tcW w:w="1433" w:type="dxa"/>
            <w:gridSpan w:val="2"/>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184.46</w:t>
            </w:r>
          </w:p>
        </w:tc>
        <w:tc>
          <w:tcPr>
            <w:tcW w:w="1763" w:type="dxa"/>
            <w:gridSpan w:val="2"/>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87.45</w:t>
            </w:r>
          </w:p>
        </w:tc>
        <w:tc>
          <w:tcPr>
            <w:tcW w:w="1701"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97.01</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512"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w:t>
            </w:r>
          </w:p>
        </w:tc>
        <w:tc>
          <w:tcPr>
            <w:tcW w:w="647"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259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社会福利</w:t>
            </w:r>
          </w:p>
        </w:tc>
        <w:tc>
          <w:tcPr>
            <w:tcW w:w="1433" w:type="dxa"/>
            <w:gridSpan w:val="2"/>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184.46</w:t>
            </w:r>
          </w:p>
        </w:tc>
        <w:tc>
          <w:tcPr>
            <w:tcW w:w="1763" w:type="dxa"/>
            <w:gridSpan w:val="2"/>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87.45</w:t>
            </w:r>
          </w:p>
        </w:tc>
        <w:tc>
          <w:tcPr>
            <w:tcW w:w="170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97.01</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512"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w:t>
            </w:r>
          </w:p>
        </w:tc>
        <w:tc>
          <w:tcPr>
            <w:tcW w:w="647"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04</w:t>
            </w:r>
          </w:p>
        </w:tc>
        <w:tc>
          <w:tcPr>
            <w:tcW w:w="259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殡葬</w:t>
            </w:r>
          </w:p>
        </w:tc>
        <w:tc>
          <w:tcPr>
            <w:tcW w:w="1433" w:type="dxa"/>
            <w:gridSpan w:val="2"/>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184.46</w:t>
            </w:r>
          </w:p>
        </w:tc>
        <w:tc>
          <w:tcPr>
            <w:tcW w:w="1763" w:type="dxa"/>
            <w:gridSpan w:val="2"/>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87.45</w:t>
            </w:r>
          </w:p>
        </w:tc>
        <w:tc>
          <w:tcPr>
            <w:tcW w:w="170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97.01</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1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64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59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43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6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4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9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3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6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4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9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3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6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4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9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3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6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4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9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3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6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4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9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3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6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4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9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3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6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4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9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3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6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4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9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3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6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4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9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3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6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4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9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3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6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4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9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3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6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1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64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59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43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6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1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64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59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433" w:type="dxa"/>
            <w:gridSpan w:val="2"/>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209.46</w:t>
            </w:r>
          </w:p>
        </w:tc>
        <w:tc>
          <w:tcPr>
            <w:tcW w:w="1763" w:type="dxa"/>
            <w:gridSpan w:val="2"/>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87.45</w:t>
            </w:r>
          </w:p>
        </w:tc>
        <w:tc>
          <w:tcPr>
            <w:tcW w:w="1701"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122.01</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呼图壁县殡葬管理所</w:t>
            </w:r>
          </w:p>
        </w:tc>
        <w:tc>
          <w:tcPr>
            <w:tcW w:w="995"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tabs>
                <w:tab w:val="left" w:pos="350"/>
              </w:tabs>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工资福利支出</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87.45</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87.45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both"/>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其他工资福利支出</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87.45</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87.45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87.45</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87.45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9601" w:type="dxa"/>
        <w:tblInd w:w="-421" w:type="dxa"/>
        <w:tblLayout w:type="fixed"/>
        <w:tblCellMar>
          <w:top w:w="0" w:type="dxa"/>
          <w:left w:w="108" w:type="dxa"/>
          <w:bottom w:w="0" w:type="dxa"/>
          <w:right w:w="108" w:type="dxa"/>
        </w:tblCellMar>
      </w:tblPr>
      <w:tblGrid>
        <w:gridCol w:w="8"/>
        <w:gridCol w:w="554"/>
        <w:gridCol w:w="478"/>
        <w:gridCol w:w="460"/>
        <w:gridCol w:w="869"/>
        <w:gridCol w:w="1858"/>
        <w:gridCol w:w="716"/>
        <w:gridCol w:w="375"/>
        <w:gridCol w:w="580"/>
        <w:gridCol w:w="494"/>
        <w:gridCol w:w="477"/>
        <w:gridCol w:w="176"/>
        <w:gridCol w:w="472"/>
        <w:gridCol w:w="341"/>
        <w:gridCol w:w="665"/>
        <w:gridCol w:w="340"/>
        <w:gridCol w:w="393"/>
        <w:gridCol w:w="268"/>
        <w:gridCol w:w="77"/>
      </w:tblGrid>
      <w:tr>
        <w:tblPrEx>
          <w:tblLayout w:type="fixed"/>
          <w:tblCellMar>
            <w:top w:w="0" w:type="dxa"/>
            <w:left w:w="108" w:type="dxa"/>
            <w:bottom w:w="0" w:type="dxa"/>
            <w:right w:w="108" w:type="dxa"/>
          </w:tblCellMar>
        </w:tblPrEx>
        <w:trPr>
          <w:gridBefore w:val="1"/>
          <w:gridAfter w:val="1"/>
          <w:wBefore w:w="8" w:type="dxa"/>
          <w:wAfter w:w="77" w:type="dxa"/>
          <w:trHeight w:val="375" w:hRule="atLeast"/>
        </w:trPr>
        <w:tc>
          <w:tcPr>
            <w:tcW w:w="9516" w:type="dxa"/>
            <w:gridSpan w:val="17"/>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8" w:type="dxa"/>
          <w:wAfter w:w="77" w:type="dxa"/>
          <w:trHeight w:val="405" w:hRule="atLeast"/>
        </w:trPr>
        <w:tc>
          <w:tcPr>
            <w:tcW w:w="4935" w:type="dxa"/>
            <w:gridSpan w:val="6"/>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呼图壁县殡葬管理所</w:t>
            </w:r>
          </w:p>
        </w:tc>
        <w:tc>
          <w:tcPr>
            <w:tcW w:w="955"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147"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500" w:type="dxa"/>
            <w:gridSpan w:val="4"/>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69"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858"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16"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37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8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494"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477"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48"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341"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6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34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393"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345"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6" w:hRule="atLeast"/>
        </w:trPr>
        <w:tc>
          <w:tcPr>
            <w:tcW w:w="562" w:type="dxa"/>
            <w:gridSpan w:val="2"/>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78"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60"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69"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185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16"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37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8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94"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77"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48"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341"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6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34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393"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345"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2" w:type="dxa"/>
            <w:gridSpan w:val="2"/>
            <w:vAlign w:val="top"/>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0"/>
                <w:szCs w:val="20"/>
                <w:highlight w:val="none"/>
                <w:lang w:val="en-US" w:eastAsia="zh-CN"/>
              </w:rPr>
              <w:t>201</w:t>
            </w:r>
          </w:p>
        </w:tc>
        <w:tc>
          <w:tcPr>
            <w:tcW w:w="478" w:type="dxa"/>
            <w:vAlign w:val="top"/>
          </w:tcPr>
          <w:p>
            <w:pPr>
              <w:widowControl/>
              <w:jc w:val="center"/>
              <w:outlineLvl w:val="1"/>
              <w:rPr>
                <w:rFonts w:hint="eastAsia" w:ascii="仿宋_GB2312" w:hAnsi="宋体" w:eastAsia="仿宋_GB2312"/>
                <w:color w:val="auto"/>
                <w:kern w:val="0"/>
                <w:sz w:val="32"/>
                <w:szCs w:val="32"/>
                <w:highlight w:val="none"/>
                <w:lang w:eastAsia="zh-Hans"/>
              </w:rPr>
            </w:pPr>
          </w:p>
        </w:tc>
        <w:tc>
          <w:tcPr>
            <w:tcW w:w="460" w:type="dxa"/>
            <w:vAlign w:val="top"/>
          </w:tcPr>
          <w:p>
            <w:pPr>
              <w:widowControl/>
              <w:jc w:val="center"/>
              <w:outlineLvl w:val="1"/>
              <w:rPr>
                <w:rFonts w:ascii="仿宋_GB2312" w:hAnsi="宋体" w:eastAsia="仿宋_GB2312"/>
                <w:color w:val="auto"/>
                <w:kern w:val="0"/>
                <w:sz w:val="32"/>
                <w:szCs w:val="32"/>
                <w:highlight w:val="none"/>
              </w:rPr>
            </w:pPr>
          </w:p>
        </w:tc>
        <w:tc>
          <w:tcPr>
            <w:tcW w:w="869" w:type="dxa"/>
            <w:vAlign w:val="top"/>
          </w:tcPr>
          <w:p>
            <w:pPr>
              <w:widowControl/>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一般公共服务支出</w:t>
            </w:r>
          </w:p>
        </w:tc>
        <w:tc>
          <w:tcPr>
            <w:tcW w:w="185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6" w:type="dxa"/>
            <w:vAlign w:val="top"/>
          </w:tcPr>
          <w:p>
            <w:pPr>
              <w:widowControl/>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25</w:t>
            </w:r>
          </w:p>
        </w:tc>
        <w:tc>
          <w:tcPr>
            <w:tcW w:w="375" w:type="dxa"/>
            <w:vAlign w:val="top"/>
          </w:tcPr>
          <w:p>
            <w:pPr>
              <w:widowControl/>
              <w:jc w:val="left"/>
              <w:outlineLvl w:val="1"/>
              <w:rPr>
                <w:rFonts w:hint="eastAsia" w:ascii="仿宋_GB2312" w:hAnsi="宋体" w:eastAsia="仿宋_GB2312"/>
                <w:color w:val="auto"/>
                <w:kern w:val="0"/>
                <w:sz w:val="20"/>
                <w:szCs w:val="20"/>
                <w:highlight w:val="none"/>
                <w:lang w:val="en-US" w:eastAsia="zh-CN"/>
              </w:rPr>
            </w:pPr>
          </w:p>
        </w:tc>
        <w:tc>
          <w:tcPr>
            <w:tcW w:w="580" w:type="dxa"/>
            <w:vAlign w:val="top"/>
          </w:tcPr>
          <w:p>
            <w:pPr>
              <w:widowControl/>
              <w:jc w:val="left"/>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25</w:t>
            </w:r>
          </w:p>
        </w:tc>
        <w:tc>
          <w:tcPr>
            <w:tcW w:w="494" w:type="dxa"/>
            <w:vAlign w:val="top"/>
          </w:tcPr>
          <w:p>
            <w:pPr>
              <w:widowControl/>
              <w:jc w:val="left"/>
              <w:outlineLvl w:val="1"/>
              <w:rPr>
                <w:rFonts w:ascii="仿宋_GB2312" w:hAnsi="宋体" w:eastAsia="仿宋_GB2312"/>
                <w:color w:val="auto"/>
                <w:kern w:val="0"/>
                <w:sz w:val="32"/>
                <w:szCs w:val="32"/>
                <w:highlight w:val="none"/>
              </w:rPr>
            </w:pPr>
          </w:p>
        </w:tc>
        <w:tc>
          <w:tcPr>
            <w:tcW w:w="477" w:type="dxa"/>
            <w:vAlign w:val="top"/>
          </w:tcPr>
          <w:p>
            <w:pPr>
              <w:widowControl/>
              <w:jc w:val="left"/>
              <w:outlineLvl w:val="1"/>
              <w:rPr>
                <w:rFonts w:ascii="仿宋_GB2312" w:hAnsi="宋体" w:eastAsia="仿宋_GB2312"/>
                <w:color w:val="auto"/>
                <w:kern w:val="0"/>
                <w:sz w:val="32"/>
                <w:szCs w:val="32"/>
                <w:highlight w:val="none"/>
              </w:rPr>
            </w:pPr>
          </w:p>
        </w:tc>
        <w:tc>
          <w:tcPr>
            <w:tcW w:w="648" w:type="dxa"/>
            <w:gridSpan w:val="2"/>
            <w:vAlign w:val="top"/>
          </w:tcPr>
          <w:p>
            <w:pPr>
              <w:widowControl/>
              <w:jc w:val="left"/>
              <w:outlineLvl w:val="1"/>
              <w:rPr>
                <w:rFonts w:ascii="仿宋_GB2312" w:hAnsi="宋体" w:eastAsia="仿宋_GB2312"/>
                <w:color w:val="auto"/>
                <w:kern w:val="0"/>
                <w:sz w:val="32"/>
                <w:szCs w:val="32"/>
                <w:highlight w:val="none"/>
              </w:rPr>
            </w:pPr>
          </w:p>
        </w:tc>
        <w:tc>
          <w:tcPr>
            <w:tcW w:w="34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6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9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2" w:type="dxa"/>
            <w:gridSpan w:val="2"/>
            <w:vAlign w:val="top"/>
          </w:tcPr>
          <w:p>
            <w:pPr>
              <w:widowControl/>
              <w:jc w:val="center"/>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201</w:t>
            </w:r>
          </w:p>
        </w:tc>
        <w:tc>
          <w:tcPr>
            <w:tcW w:w="478" w:type="dxa"/>
            <w:vAlign w:val="top"/>
          </w:tcPr>
          <w:p>
            <w:pPr>
              <w:widowControl/>
              <w:jc w:val="center"/>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04</w:t>
            </w:r>
          </w:p>
        </w:tc>
        <w:tc>
          <w:tcPr>
            <w:tcW w:w="460" w:type="dxa"/>
            <w:vAlign w:val="top"/>
          </w:tcPr>
          <w:p>
            <w:pPr>
              <w:widowControl/>
              <w:jc w:val="center"/>
              <w:outlineLvl w:val="1"/>
              <w:rPr>
                <w:rFonts w:hint="eastAsia" w:ascii="仿宋_GB2312" w:hAnsi="宋体" w:eastAsia="仿宋_GB2312"/>
                <w:color w:val="auto"/>
                <w:kern w:val="0"/>
                <w:sz w:val="20"/>
                <w:szCs w:val="20"/>
                <w:highlight w:val="none"/>
                <w:lang w:val="en-US" w:eastAsia="zh-CN"/>
              </w:rPr>
            </w:pPr>
          </w:p>
        </w:tc>
        <w:tc>
          <w:tcPr>
            <w:tcW w:w="869" w:type="dxa"/>
            <w:vAlign w:val="top"/>
          </w:tcPr>
          <w:p>
            <w:pPr>
              <w:widowControl/>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发展与改革事务</w:t>
            </w:r>
          </w:p>
        </w:tc>
        <w:tc>
          <w:tcPr>
            <w:tcW w:w="185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6" w:type="dxa"/>
            <w:vAlign w:val="top"/>
          </w:tcPr>
          <w:p>
            <w:pPr>
              <w:widowControl/>
              <w:jc w:val="left"/>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25</w:t>
            </w:r>
          </w:p>
        </w:tc>
        <w:tc>
          <w:tcPr>
            <w:tcW w:w="375" w:type="dxa"/>
            <w:vAlign w:val="top"/>
          </w:tcPr>
          <w:p>
            <w:pPr>
              <w:widowControl/>
              <w:jc w:val="left"/>
              <w:outlineLvl w:val="1"/>
              <w:rPr>
                <w:rFonts w:hint="eastAsia" w:ascii="仿宋_GB2312" w:hAnsi="宋体" w:eastAsia="仿宋_GB2312"/>
                <w:color w:val="auto"/>
                <w:kern w:val="0"/>
                <w:sz w:val="20"/>
                <w:szCs w:val="20"/>
                <w:highlight w:val="none"/>
                <w:lang w:val="en-US" w:eastAsia="zh-CN"/>
              </w:rPr>
            </w:pPr>
          </w:p>
        </w:tc>
        <w:tc>
          <w:tcPr>
            <w:tcW w:w="580" w:type="dxa"/>
            <w:vAlign w:val="top"/>
          </w:tcPr>
          <w:p>
            <w:pPr>
              <w:widowControl/>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25</w:t>
            </w:r>
          </w:p>
        </w:tc>
        <w:tc>
          <w:tcPr>
            <w:tcW w:w="494" w:type="dxa"/>
            <w:vAlign w:val="top"/>
          </w:tcPr>
          <w:p>
            <w:pPr>
              <w:widowControl/>
              <w:jc w:val="left"/>
              <w:outlineLvl w:val="1"/>
              <w:rPr>
                <w:rFonts w:ascii="仿宋_GB2312" w:hAnsi="宋体" w:eastAsia="仿宋_GB2312"/>
                <w:color w:val="auto"/>
                <w:kern w:val="0"/>
                <w:sz w:val="32"/>
                <w:szCs w:val="32"/>
                <w:highlight w:val="none"/>
              </w:rPr>
            </w:pPr>
          </w:p>
        </w:tc>
        <w:tc>
          <w:tcPr>
            <w:tcW w:w="477" w:type="dxa"/>
            <w:vAlign w:val="top"/>
          </w:tcPr>
          <w:p>
            <w:pPr>
              <w:widowControl/>
              <w:jc w:val="left"/>
              <w:outlineLvl w:val="1"/>
              <w:rPr>
                <w:rFonts w:ascii="仿宋_GB2312" w:hAnsi="宋体" w:eastAsia="仿宋_GB2312"/>
                <w:color w:val="auto"/>
                <w:kern w:val="0"/>
                <w:sz w:val="32"/>
                <w:szCs w:val="32"/>
                <w:highlight w:val="none"/>
              </w:rPr>
            </w:pPr>
          </w:p>
        </w:tc>
        <w:tc>
          <w:tcPr>
            <w:tcW w:w="648" w:type="dxa"/>
            <w:gridSpan w:val="2"/>
            <w:vAlign w:val="top"/>
          </w:tcPr>
          <w:p>
            <w:pPr>
              <w:widowControl/>
              <w:jc w:val="left"/>
              <w:outlineLvl w:val="1"/>
              <w:rPr>
                <w:rFonts w:ascii="仿宋_GB2312" w:hAnsi="宋体" w:eastAsia="仿宋_GB2312"/>
                <w:color w:val="auto"/>
                <w:kern w:val="0"/>
                <w:sz w:val="32"/>
                <w:szCs w:val="32"/>
                <w:highlight w:val="none"/>
              </w:rPr>
            </w:pPr>
          </w:p>
        </w:tc>
        <w:tc>
          <w:tcPr>
            <w:tcW w:w="34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6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9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2" w:type="dxa"/>
            <w:gridSpan w:val="2"/>
            <w:vAlign w:val="top"/>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201</w:t>
            </w:r>
          </w:p>
        </w:tc>
        <w:tc>
          <w:tcPr>
            <w:tcW w:w="478" w:type="dxa"/>
            <w:vAlign w:val="top"/>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04</w:t>
            </w:r>
          </w:p>
        </w:tc>
        <w:tc>
          <w:tcPr>
            <w:tcW w:w="460" w:type="dxa"/>
            <w:vAlign w:val="top"/>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99</w:t>
            </w:r>
          </w:p>
        </w:tc>
        <w:tc>
          <w:tcPr>
            <w:tcW w:w="869"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其他发展与改革事务</w:t>
            </w:r>
          </w:p>
        </w:tc>
        <w:tc>
          <w:tcPr>
            <w:tcW w:w="185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昌州财办建【2023】14号 2023年第六批自治区预算内投资-第二殡仪馆建设项目前期费　</w:t>
            </w:r>
          </w:p>
        </w:tc>
        <w:tc>
          <w:tcPr>
            <w:tcW w:w="716" w:type="dxa"/>
            <w:vAlign w:val="top"/>
          </w:tcPr>
          <w:p>
            <w:pPr>
              <w:widowControl/>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25</w:t>
            </w:r>
          </w:p>
        </w:tc>
        <w:tc>
          <w:tcPr>
            <w:tcW w:w="375" w:type="dxa"/>
            <w:vAlign w:val="top"/>
          </w:tcPr>
          <w:p>
            <w:pPr>
              <w:widowControl/>
              <w:jc w:val="left"/>
              <w:outlineLvl w:val="1"/>
              <w:rPr>
                <w:rFonts w:ascii="仿宋_GB2312" w:hAnsi="宋体" w:eastAsia="仿宋_GB2312"/>
                <w:color w:val="auto"/>
                <w:kern w:val="0"/>
                <w:sz w:val="20"/>
                <w:szCs w:val="20"/>
                <w:highlight w:val="none"/>
              </w:rPr>
            </w:pPr>
          </w:p>
        </w:tc>
        <w:tc>
          <w:tcPr>
            <w:tcW w:w="580" w:type="dxa"/>
            <w:vAlign w:val="top"/>
          </w:tcPr>
          <w:p>
            <w:pPr>
              <w:widowControl/>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25</w:t>
            </w:r>
          </w:p>
        </w:tc>
        <w:tc>
          <w:tcPr>
            <w:tcW w:w="494" w:type="dxa"/>
            <w:vAlign w:val="top"/>
          </w:tcPr>
          <w:p>
            <w:pPr>
              <w:widowControl/>
              <w:jc w:val="left"/>
              <w:outlineLvl w:val="1"/>
              <w:rPr>
                <w:rFonts w:ascii="仿宋_GB2312" w:hAnsi="宋体" w:eastAsia="仿宋_GB2312"/>
                <w:color w:val="auto"/>
                <w:kern w:val="0"/>
                <w:sz w:val="20"/>
                <w:szCs w:val="20"/>
                <w:highlight w:val="none"/>
              </w:rPr>
            </w:pPr>
          </w:p>
        </w:tc>
        <w:tc>
          <w:tcPr>
            <w:tcW w:w="477" w:type="dxa"/>
            <w:vAlign w:val="top"/>
          </w:tcPr>
          <w:p>
            <w:pPr>
              <w:widowControl/>
              <w:jc w:val="left"/>
              <w:outlineLvl w:val="1"/>
              <w:rPr>
                <w:rFonts w:ascii="仿宋_GB2312" w:hAnsi="宋体" w:eastAsia="仿宋_GB2312"/>
                <w:color w:val="auto"/>
                <w:kern w:val="0"/>
                <w:sz w:val="20"/>
                <w:szCs w:val="20"/>
                <w:highlight w:val="none"/>
              </w:rPr>
            </w:pPr>
          </w:p>
        </w:tc>
        <w:tc>
          <w:tcPr>
            <w:tcW w:w="648" w:type="dxa"/>
            <w:gridSpan w:val="2"/>
            <w:vAlign w:val="top"/>
          </w:tcPr>
          <w:p>
            <w:pPr>
              <w:widowControl/>
              <w:jc w:val="left"/>
              <w:outlineLvl w:val="1"/>
              <w:rPr>
                <w:rFonts w:ascii="仿宋_GB2312" w:hAnsi="宋体" w:eastAsia="仿宋_GB2312"/>
                <w:color w:val="auto"/>
                <w:kern w:val="0"/>
                <w:sz w:val="20"/>
                <w:szCs w:val="20"/>
                <w:highlight w:val="none"/>
              </w:rPr>
            </w:pPr>
          </w:p>
        </w:tc>
        <w:tc>
          <w:tcPr>
            <w:tcW w:w="341"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6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4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93"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45"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2" w:type="dxa"/>
            <w:gridSpan w:val="2"/>
            <w:vAlign w:val="top"/>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208</w:t>
            </w:r>
          </w:p>
        </w:tc>
        <w:tc>
          <w:tcPr>
            <w:tcW w:w="478" w:type="dxa"/>
            <w:vAlign w:val="top"/>
          </w:tcPr>
          <w:p>
            <w:pPr>
              <w:widowControl/>
              <w:jc w:val="center"/>
              <w:outlineLvl w:val="1"/>
              <w:rPr>
                <w:rFonts w:ascii="仿宋_GB2312" w:hAnsi="宋体" w:eastAsia="仿宋_GB2312"/>
                <w:color w:val="auto"/>
                <w:kern w:val="0"/>
                <w:sz w:val="20"/>
                <w:szCs w:val="20"/>
                <w:highlight w:val="none"/>
              </w:rPr>
            </w:pPr>
          </w:p>
        </w:tc>
        <w:tc>
          <w:tcPr>
            <w:tcW w:w="460" w:type="dxa"/>
            <w:vAlign w:val="top"/>
          </w:tcPr>
          <w:p>
            <w:pPr>
              <w:widowControl/>
              <w:jc w:val="center"/>
              <w:outlineLvl w:val="1"/>
              <w:rPr>
                <w:rFonts w:ascii="仿宋_GB2312" w:hAnsi="宋体" w:eastAsia="仿宋_GB2312"/>
                <w:color w:val="auto"/>
                <w:kern w:val="0"/>
                <w:sz w:val="20"/>
                <w:szCs w:val="20"/>
                <w:highlight w:val="none"/>
              </w:rPr>
            </w:pPr>
          </w:p>
        </w:tc>
        <w:tc>
          <w:tcPr>
            <w:tcW w:w="869"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社会保障和就业支出</w:t>
            </w:r>
          </w:p>
        </w:tc>
        <w:tc>
          <w:tcPr>
            <w:tcW w:w="185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716" w:type="dxa"/>
            <w:vAlign w:val="top"/>
          </w:tcPr>
          <w:p>
            <w:pPr>
              <w:widowControl/>
              <w:jc w:val="left"/>
              <w:outlineLvl w:val="1"/>
              <w:rPr>
                <w:rFonts w:ascii="仿宋_GB2312" w:hAnsi="宋体" w:eastAsia="仿宋_GB2312"/>
                <w:color w:val="auto"/>
                <w:kern w:val="0"/>
                <w:sz w:val="20"/>
                <w:szCs w:val="20"/>
                <w:highlight w:val="none"/>
              </w:rPr>
            </w:pPr>
          </w:p>
        </w:tc>
        <w:tc>
          <w:tcPr>
            <w:tcW w:w="375" w:type="dxa"/>
            <w:vAlign w:val="top"/>
          </w:tcPr>
          <w:p>
            <w:pPr>
              <w:widowControl/>
              <w:jc w:val="left"/>
              <w:outlineLvl w:val="1"/>
              <w:rPr>
                <w:rFonts w:ascii="仿宋_GB2312" w:hAnsi="宋体" w:eastAsia="仿宋_GB2312"/>
                <w:color w:val="auto"/>
                <w:kern w:val="0"/>
                <w:sz w:val="20"/>
                <w:szCs w:val="20"/>
                <w:highlight w:val="none"/>
              </w:rPr>
            </w:pPr>
          </w:p>
        </w:tc>
        <w:tc>
          <w:tcPr>
            <w:tcW w:w="580" w:type="dxa"/>
            <w:vAlign w:val="top"/>
          </w:tcPr>
          <w:p>
            <w:pPr>
              <w:widowControl/>
              <w:jc w:val="left"/>
              <w:outlineLvl w:val="1"/>
              <w:rPr>
                <w:rFonts w:ascii="仿宋_GB2312" w:hAnsi="宋体" w:eastAsia="仿宋_GB2312"/>
                <w:color w:val="auto"/>
                <w:kern w:val="0"/>
                <w:sz w:val="20"/>
                <w:szCs w:val="20"/>
                <w:highlight w:val="none"/>
              </w:rPr>
            </w:pPr>
          </w:p>
        </w:tc>
        <w:tc>
          <w:tcPr>
            <w:tcW w:w="494" w:type="dxa"/>
            <w:vAlign w:val="top"/>
          </w:tcPr>
          <w:p>
            <w:pPr>
              <w:widowControl/>
              <w:jc w:val="left"/>
              <w:outlineLvl w:val="1"/>
              <w:rPr>
                <w:rFonts w:ascii="仿宋_GB2312" w:hAnsi="宋体" w:eastAsia="仿宋_GB2312"/>
                <w:color w:val="auto"/>
                <w:kern w:val="0"/>
                <w:sz w:val="20"/>
                <w:szCs w:val="20"/>
                <w:highlight w:val="none"/>
              </w:rPr>
            </w:pPr>
          </w:p>
        </w:tc>
        <w:tc>
          <w:tcPr>
            <w:tcW w:w="477" w:type="dxa"/>
            <w:vAlign w:val="top"/>
          </w:tcPr>
          <w:p>
            <w:pPr>
              <w:widowControl/>
              <w:jc w:val="left"/>
              <w:outlineLvl w:val="1"/>
              <w:rPr>
                <w:rFonts w:ascii="仿宋_GB2312" w:hAnsi="宋体" w:eastAsia="仿宋_GB2312"/>
                <w:color w:val="auto"/>
                <w:kern w:val="0"/>
                <w:sz w:val="20"/>
                <w:szCs w:val="20"/>
                <w:highlight w:val="none"/>
              </w:rPr>
            </w:pPr>
          </w:p>
        </w:tc>
        <w:tc>
          <w:tcPr>
            <w:tcW w:w="648" w:type="dxa"/>
            <w:gridSpan w:val="2"/>
            <w:vAlign w:val="top"/>
          </w:tcPr>
          <w:p>
            <w:pPr>
              <w:widowControl/>
              <w:jc w:val="left"/>
              <w:outlineLvl w:val="1"/>
              <w:rPr>
                <w:rFonts w:ascii="仿宋_GB2312" w:hAnsi="宋体" w:eastAsia="仿宋_GB2312"/>
                <w:color w:val="auto"/>
                <w:kern w:val="0"/>
                <w:sz w:val="20"/>
                <w:szCs w:val="20"/>
                <w:highlight w:val="none"/>
              </w:rPr>
            </w:pPr>
          </w:p>
        </w:tc>
        <w:tc>
          <w:tcPr>
            <w:tcW w:w="341"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6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4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93"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45"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562" w:type="dxa"/>
            <w:gridSpan w:val="2"/>
            <w:vAlign w:val="top"/>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208</w:t>
            </w:r>
          </w:p>
        </w:tc>
        <w:tc>
          <w:tcPr>
            <w:tcW w:w="478" w:type="dxa"/>
            <w:vAlign w:val="top"/>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10</w:t>
            </w:r>
          </w:p>
        </w:tc>
        <w:tc>
          <w:tcPr>
            <w:tcW w:w="460" w:type="dxa"/>
            <w:vAlign w:val="top"/>
          </w:tcPr>
          <w:p>
            <w:pPr>
              <w:widowControl/>
              <w:jc w:val="center"/>
              <w:outlineLvl w:val="1"/>
              <w:rPr>
                <w:rFonts w:ascii="仿宋_GB2312" w:hAnsi="宋体" w:eastAsia="仿宋_GB2312"/>
                <w:color w:val="auto"/>
                <w:kern w:val="0"/>
                <w:sz w:val="20"/>
                <w:szCs w:val="20"/>
                <w:highlight w:val="none"/>
              </w:rPr>
            </w:pPr>
          </w:p>
        </w:tc>
        <w:tc>
          <w:tcPr>
            <w:tcW w:w="869"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社会福利</w:t>
            </w:r>
          </w:p>
        </w:tc>
        <w:tc>
          <w:tcPr>
            <w:tcW w:w="185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716" w:type="dxa"/>
            <w:vAlign w:val="top"/>
          </w:tcPr>
          <w:p>
            <w:pPr>
              <w:widowControl/>
              <w:jc w:val="left"/>
              <w:outlineLvl w:val="1"/>
              <w:rPr>
                <w:rFonts w:ascii="仿宋_GB2312" w:hAnsi="宋体" w:eastAsia="仿宋_GB2312"/>
                <w:color w:val="auto"/>
                <w:kern w:val="0"/>
                <w:sz w:val="20"/>
                <w:szCs w:val="20"/>
                <w:highlight w:val="none"/>
              </w:rPr>
            </w:pPr>
          </w:p>
        </w:tc>
        <w:tc>
          <w:tcPr>
            <w:tcW w:w="375" w:type="dxa"/>
            <w:vAlign w:val="top"/>
          </w:tcPr>
          <w:p>
            <w:pPr>
              <w:widowControl/>
              <w:jc w:val="left"/>
              <w:outlineLvl w:val="1"/>
              <w:rPr>
                <w:rFonts w:ascii="仿宋_GB2312" w:hAnsi="宋体" w:eastAsia="仿宋_GB2312"/>
                <w:color w:val="auto"/>
                <w:kern w:val="0"/>
                <w:sz w:val="20"/>
                <w:szCs w:val="20"/>
                <w:highlight w:val="none"/>
              </w:rPr>
            </w:pPr>
          </w:p>
        </w:tc>
        <w:tc>
          <w:tcPr>
            <w:tcW w:w="580" w:type="dxa"/>
            <w:vAlign w:val="top"/>
          </w:tcPr>
          <w:p>
            <w:pPr>
              <w:widowControl/>
              <w:jc w:val="left"/>
              <w:outlineLvl w:val="1"/>
              <w:rPr>
                <w:rFonts w:ascii="仿宋_GB2312" w:hAnsi="宋体" w:eastAsia="仿宋_GB2312"/>
                <w:color w:val="auto"/>
                <w:kern w:val="0"/>
                <w:sz w:val="20"/>
                <w:szCs w:val="20"/>
                <w:highlight w:val="none"/>
              </w:rPr>
            </w:pPr>
          </w:p>
        </w:tc>
        <w:tc>
          <w:tcPr>
            <w:tcW w:w="494" w:type="dxa"/>
            <w:vAlign w:val="top"/>
          </w:tcPr>
          <w:p>
            <w:pPr>
              <w:widowControl/>
              <w:jc w:val="left"/>
              <w:outlineLvl w:val="1"/>
              <w:rPr>
                <w:rFonts w:ascii="仿宋_GB2312" w:hAnsi="宋体" w:eastAsia="仿宋_GB2312"/>
                <w:color w:val="auto"/>
                <w:kern w:val="0"/>
                <w:sz w:val="20"/>
                <w:szCs w:val="20"/>
                <w:highlight w:val="none"/>
              </w:rPr>
            </w:pPr>
          </w:p>
        </w:tc>
        <w:tc>
          <w:tcPr>
            <w:tcW w:w="477" w:type="dxa"/>
            <w:vAlign w:val="top"/>
          </w:tcPr>
          <w:p>
            <w:pPr>
              <w:widowControl/>
              <w:jc w:val="left"/>
              <w:outlineLvl w:val="1"/>
              <w:rPr>
                <w:rFonts w:ascii="仿宋_GB2312" w:hAnsi="宋体" w:eastAsia="仿宋_GB2312"/>
                <w:color w:val="auto"/>
                <w:kern w:val="0"/>
                <w:sz w:val="20"/>
                <w:szCs w:val="20"/>
                <w:highlight w:val="none"/>
              </w:rPr>
            </w:pPr>
          </w:p>
        </w:tc>
        <w:tc>
          <w:tcPr>
            <w:tcW w:w="648" w:type="dxa"/>
            <w:gridSpan w:val="2"/>
            <w:vAlign w:val="top"/>
          </w:tcPr>
          <w:p>
            <w:pPr>
              <w:widowControl/>
              <w:jc w:val="left"/>
              <w:outlineLvl w:val="1"/>
              <w:rPr>
                <w:rFonts w:ascii="仿宋_GB2312" w:hAnsi="宋体" w:eastAsia="仿宋_GB2312"/>
                <w:color w:val="auto"/>
                <w:kern w:val="0"/>
                <w:sz w:val="20"/>
                <w:szCs w:val="20"/>
                <w:highlight w:val="none"/>
              </w:rPr>
            </w:pPr>
          </w:p>
        </w:tc>
        <w:tc>
          <w:tcPr>
            <w:tcW w:w="341"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6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4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93"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45"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2" w:type="dxa"/>
            <w:gridSpan w:val="2"/>
            <w:vAlign w:val="top"/>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208</w:t>
            </w:r>
          </w:p>
        </w:tc>
        <w:tc>
          <w:tcPr>
            <w:tcW w:w="478" w:type="dxa"/>
            <w:vAlign w:val="top"/>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10</w:t>
            </w:r>
          </w:p>
        </w:tc>
        <w:tc>
          <w:tcPr>
            <w:tcW w:w="460" w:type="dxa"/>
            <w:vAlign w:val="top"/>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04</w:t>
            </w:r>
          </w:p>
        </w:tc>
        <w:tc>
          <w:tcPr>
            <w:tcW w:w="869"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殡葬</w:t>
            </w:r>
          </w:p>
        </w:tc>
        <w:tc>
          <w:tcPr>
            <w:tcW w:w="185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昌州财办建【2023】1号-2023年社会服务设兜底工程中央基建投资预算</w:t>
            </w:r>
          </w:p>
        </w:tc>
        <w:tc>
          <w:tcPr>
            <w:tcW w:w="716" w:type="dxa"/>
            <w:vAlign w:val="top"/>
          </w:tcPr>
          <w:p>
            <w:pPr>
              <w:widowControl/>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1.02</w:t>
            </w:r>
          </w:p>
        </w:tc>
        <w:tc>
          <w:tcPr>
            <w:tcW w:w="375" w:type="dxa"/>
            <w:vAlign w:val="top"/>
          </w:tcPr>
          <w:p>
            <w:pPr>
              <w:widowControl/>
              <w:jc w:val="left"/>
              <w:outlineLvl w:val="1"/>
              <w:rPr>
                <w:rFonts w:ascii="仿宋_GB2312" w:hAnsi="宋体" w:eastAsia="仿宋_GB2312"/>
                <w:color w:val="auto"/>
                <w:kern w:val="0"/>
                <w:sz w:val="20"/>
                <w:szCs w:val="20"/>
                <w:highlight w:val="none"/>
              </w:rPr>
            </w:pPr>
          </w:p>
        </w:tc>
        <w:tc>
          <w:tcPr>
            <w:tcW w:w="580" w:type="dxa"/>
            <w:vAlign w:val="top"/>
          </w:tcPr>
          <w:p>
            <w:pPr>
              <w:widowControl/>
              <w:jc w:val="left"/>
              <w:outlineLvl w:val="1"/>
              <w:rPr>
                <w:rFonts w:ascii="仿宋_GB2312" w:hAnsi="宋体" w:eastAsia="仿宋_GB2312"/>
                <w:color w:val="auto"/>
                <w:kern w:val="0"/>
                <w:sz w:val="20"/>
                <w:szCs w:val="20"/>
                <w:highlight w:val="none"/>
              </w:rPr>
            </w:pPr>
          </w:p>
        </w:tc>
        <w:tc>
          <w:tcPr>
            <w:tcW w:w="494" w:type="dxa"/>
            <w:vAlign w:val="top"/>
          </w:tcPr>
          <w:p>
            <w:pPr>
              <w:widowControl/>
              <w:jc w:val="left"/>
              <w:outlineLvl w:val="1"/>
              <w:rPr>
                <w:rFonts w:ascii="仿宋_GB2312" w:hAnsi="宋体" w:eastAsia="仿宋_GB2312"/>
                <w:color w:val="auto"/>
                <w:kern w:val="0"/>
                <w:sz w:val="20"/>
                <w:szCs w:val="20"/>
                <w:highlight w:val="none"/>
              </w:rPr>
            </w:pPr>
          </w:p>
        </w:tc>
        <w:tc>
          <w:tcPr>
            <w:tcW w:w="477" w:type="dxa"/>
            <w:vAlign w:val="top"/>
          </w:tcPr>
          <w:p>
            <w:pPr>
              <w:widowControl/>
              <w:jc w:val="left"/>
              <w:outlineLvl w:val="1"/>
              <w:rPr>
                <w:rFonts w:ascii="仿宋_GB2312" w:hAnsi="宋体" w:eastAsia="仿宋_GB2312"/>
                <w:color w:val="auto"/>
                <w:kern w:val="0"/>
                <w:sz w:val="20"/>
                <w:szCs w:val="20"/>
                <w:highlight w:val="none"/>
              </w:rPr>
            </w:pPr>
          </w:p>
        </w:tc>
        <w:tc>
          <w:tcPr>
            <w:tcW w:w="648" w:type="dxa"/>
            <w:gridSpan w:val="2"/>
            <w:vAlign w:val="top"/>
          </w:tcPr>
          <w:p>
            <w:pPr>
              <w:widowControl/>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1.02</w:t>
            </w:r>
          </w:p>
        </w:tc>
        <w:tc>
          <w:tcPr>
            <w:tcW w:w="341"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6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4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93"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45"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2"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208</w:t>
            </w:r>
            <w:r>
              <w:rPr>
                <w:rFonts w:hint="eastAsia" w:ascii="仿宋_GB2312" w:hAnsi="宋体" w:eastAsia="仿宋_GB2312"/>
                <w:color w:val="auto"/>
                <w:kern w:val="0"/>
                <w:sz w:val="20"/>
                <w:szCs w:val="20"/>
                <w:highlight w:val="none"/>
              </w:rPr>
              <w:t>　</w:t>
            </w:r>
          </w:p>
        </w:tc>
        <w:tc>
          <w:tcPr>
            <w:tcW w:w="47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10</w:t>
            </w:r>
          </w:p>
        </w:tc>
        <w:tc>
          <w:tcPr>
            <w:tcW w:w="46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04</w:t>
            </w:r>
            <w:r>
              <w:rPr>
                <w:rFonts w:hint="eastAsia" w:ascii="仿宋_GB2312" w:hAnsi="宋体" w:eastAsia="仿宋_GB2312"/>
                <w:color w:val="auto"/>
                <w:kern w:val="0"/>
                <w:sz w:val="20"/>
                <w:szCs w:val="20"/>
                <w:highlight w:val="none"/>
              </w:rPr>
              <w:t>　</w:t>
            </w:r>
          </w:p>
        </w:tc>
        <w:tc>
          <w:tcPr>
            <w:tcW w:w="869"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殡葬</w:t>
            </w:r>
          </w:p>
        </w:tc>
        <w:tc>
          <w:tcPr>
            <w:tcW w:w="185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2024年殡葬管理所运行费（非定额）　</w:t>
            </w:r>
          </w:p>
        </w:tc>
        <w:tc>
          <w:tcPr>
            <w:tcW w:w="716" w:type="dxa"/>
            <w:vAlign w:val="top"/>
          </w:tcPr>
          <w:p>
            <w:pPr>
              <w:widowControl/>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96</w:t>
            </w:r>
          </w:p>
        </w:tc>
        <w:tc>
          <w:tcPr>
            <w:tcW w:w="375" w:type="dxa"/>
            <w:vAlign w:val="top"/>
          </w:tcPr>
          <w:p>
            <w:pPr>
              <w:widowControl/>
              <w:jc w:val="left"/>
              <w:outlineLvl w:val="1"/>
              <w:rPr>
                <w:rFonts w:ascii="仿宋_GB2312" w:hAnsi="宋体" w:eastAsia="仿宋_GB2312"/>
                <w:color w:val="auto"/>
                <w:kern w:val="0"/>
                <w:sz w:val="20"/>
                <w:szCs w:val="20"/>
                <w:highlight w:val="none"/>
              </w:rPr>
            </w:pPr>
          </w:p>
        </w:tc>
        <w:tc>
          <w:tcPr>
            <w:tcW w:w="580" w:type="dxa"/>
            <w:vAlign w:val="top"/>
          </w:tcPr>
          <w:p>
            <w:pPr>
              <w:widowControl/>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96</w:t>
            </w:r>
          </w:p>
        </w:tc>
        <w:tc>
          <w:tcPr>
            <w:tcW w:w="494" w:type="dxa"/>
            <w:vAlign w:val="top"/>
          </w:tcPr>
          <w:p>
            <w:pPr>
              <w:widowControl/>
              <w:jc w:val="left"/>
              <w:outlineLvl w:val="1"/>
              <w:rPr>
                <w:rFonts w:ascii="仿宋_GB2312" w:hAnsi="宋体" w:eastAsia="仿宋_GB2312"/>
                <w:color w:val="auto"/>
                <w:kern w:val="0"/>
                <w:sz w:val="20"/>
                <w:szCs w:val="20"/>
                <w:highlight w:val="none"/>
              </w:rPr>
            </w:pPr>
          </w:p>
        </w:tc>
        <w:tc>
          <w:tcPr>
            <w:tcW w:w="477" w:type="dxa"/>
            <w:vAlign w:val="top"/>
          </w:tcPr>
          <w:p>
            <w:pPr>
              <w:widowControl/>
              <w:jc w:val="left"/>
              <w:outlineLvl w:val="1"/>
              <w:rPr>
                <w:rFonts w:ascii="仿宋_GB2312" w:hAnsi="宋体" w:eastAsia="仿宋_GB2312"/>
                <w:color w:val="auto"/>
                <w:kern w:val="0"/>
                <w:sz w:val="20"/>
                <w:szCs w:val="20"/>
                <w:highlight w:val="none"/>
              </w:rPr>
            </w:pPr>
          </w:p>
        </w:tc>
        <w:tc>
          <w:tcPr>
            <w:tcW w:w="648" w:type="dxa"/>
            <w:gridSpan w:val="2"/>
            <w:vAlign w:val="top"/>
          </w:tcPr>
          <w:p>
            <w:pPr>
              <w:widowControl/>
              <w:jc w:val="left"/>
              <w:outlineLvl w:val="1"/>
              <w:rPr>
                <w:rFonts w:ascii="仿宋_GB2312" w:hAnsi="宋体" w:eastAsia="仿宋_GB2312"/>
                <w:color w:val="auto"/>
                <w:kern w:val="0"/>
                <w:sz w:val="20"/>
                <w:szCs w:val="20"/>
                <w:highlight w:val="none"/>
              </w:rPr>
            </w:pPr>
          </w:p>
        </w:tc>
        <w:tc>
          <w:tcPr>
            <w:tcW w:w="341"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6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4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93"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45"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2"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32"/>
                <w:szCs w:val="32"/>
                <w:highlight w:val="none"/>
              </w:rPr>
              <w:t>　</w:t>
            </w:r>
          </w:p>
        </w:tc>
        <w:tc>
          <w:tcPr>
            <w:tcW w:w="47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32"/>
                <w:szCs w:val="32"/>
                <w:highlight w:val="none"/>
              </w:rPr>
              <w:t>　</w:t>
            </w:r>
          </w:p>
        </w:tc>
        <w:tc>
          <w:tcPr>
            <w:tcW w:w="46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32"/>
                <w:szCs w:val="32"/>
                <w:highlight w:val="none"/>
              </w:rPr>
              <w:t>　</w:t>
            </w:r>
          </w:p>
        </w:tc>
        <w:tc>
          <w:tcPr>
            <w:tcW w:w="869"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32"/>
                <w:szCs w:val="32"/>
                <w:highlight w:val="none"/>
              </w:rPr>
              <w:t>　</w:t>
            </w:r>
          </w:p>
        </w:tc>
        <w:tc>
          <w:tcPr>
            <w:tcW w:w="1858" w:type="dxa"/>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b/>
                <w:bCs/>
                <w:color w:val="auto"/>
                <w:kern w:val="0"/>
                <w:sz w:val="20"/>
                <w:szCs w:val="20"/>
                <w:highlight w:val="none"/>
              </w:rPr>
              <w:t>合 计</w:t>
            </w:r>
          </w:p>
        </w:tc>
        <w:tc>
          <w:tcPr>
            <w:tcW w:w="716" w:type="dxa"/>
            <w:vAlign w:val="center"/>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122.02</w:t>
            </w:r>
          </w:p>
        </w:tc>
        <w:tc>
          <w:tcPr>
            <w:tcW w:w="3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32"/>
                <w:szCs w:val="32"/>
                <w:highlight w:val="none"/>
              </w:rPr>
              <w:t>　</w:t>
            </w:r>
          </w:p>
        </w:tc>
        <w:tc>
          <w:tcPr>
            <w:tcW w:w="58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32"/>
                <w:szCs w:val="32"/>
                <w:highlight w:val="none"/>
              </w:rPr>
              <w:t>　</w:t>
            </w:r>
          </w:p>
        </w:tc>
        <w:tc>
          <w:tcPr>
            <w:tcW w:w="494"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32"/>
                <w:szCs w:val="32"/>
                <w:highlight w:val="none"/>
              </w:rPr>
              <w:t>　</w:t>
            </w:r>
          </w:p>
        </w:tc>
        <w:tc>
          <w:tcPr>
            <w:tcW w:w="47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32"/>
                <w:szCs w:val="32"/>
                <w:highlight w:val="none"/>
              </w:rPr>
              <w:t>　</w:t>
            </w:r>
          </w:p>
        </w:tc>
        <w:tc>
          <w:tcPr>
            <w:tcW w:w="648"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32"/>
                <w:szCs w:val="32"/>
                <w:highlight w:val="none"/>
              </w:rPr>
              <w:t>　</w:t>
            </w:r>
          </w:p>
        </w:tc>
        <w:tc>
          <w:tcPr>
            <w:tcW w:w="341"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32"/>
                <w:szCs w:val="32"/>
                <w:highlight w:val="none"/>
              </w:rPr>
              <w:t>　</w:t>
            </w:r>
          </w:p>
        </w:tc>
        <w:tc>
          <w:tcPr>
            <w:tcW w:w="66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32"/>
                <w:szCs w:val="32"/>
                <w:highlight w:val="none"/>
              </w:rPr>
              <w:t>　</w:t>
            </w:r>
          </w:p>
        </w:tc>
        <w:tc>
          <w:tcPr>
            <w:tcW w:w="34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32"/>
                <w:szCs w:val="32"/>
                <w:highlight w:val="none"/>
              </w:rPr>
              <w:t>　</w:t>
            </w:r>
          </w:p>
        </w:tc>
        <w:tc>
          <w:tcPr>
            <w:tcW w:w="393"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32"/>
                <w:szCs w:val="32"/>
                <w:highlight w:val="none"/>
              </w:rPr>
              <w:t>　</w:t>
            </w:r>
          </w:p>
        </w:tc>
        <w:tc>
          <w:tcPr>
            <w:tcW w:w="345"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32"/>
                <w:szCs w:val="32"/>
                <w:highlight w:val="none"/>
              </w:rPr>
              <w:t>　</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呼图壁县殡葬管理所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2024年无政府性基金预算支出，此表为空表。</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呼图壁县殡葬管理所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2024年无国有资本经营预算支出，此表为空表。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呼图壁县殡葬管理所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lang w:val="en-US" w:eastAsia="zh-CN"/>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widowControl/>
        <w:outlineLvl w:val="1"/>
        <w:rPr>
          <w:rFonts w:hint="eastAsia"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2024年无财政拨款“三公”经费支出，此表为空表。</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240" w:lineRule="auto"/>
              <w:jc w:val="center"/>
              <w:rPr>
                <w:rFonts w:ascii="仿宋" w:hAnsi="仿宋" w:eastAsia="仿宋" w:cs="仿宋_GB2312"/>
                <w:bCs/>
                <w:color w:val="auto"/>
                <w:kern w:val="0"/>
                <w:sz w:val="28"/>
                <w:szCs w:val="28"/>
                <w:highlight w:val="none"/>
              </w:rPr>
            </w:pPr>
            <w:r>
              <w:rPr>
                <w:rFonts w:hint="eastAsia" w:ascii="仿宋_GB2312" w:hAnsi="宋体" w:eastAsia="仿宋_GB2312"/>
                <w:color w:val="auto"/>
                <w:kern w:val="0"/>
                <w:sz w:val="20"/>
                <w:szCs w:val="20"/>
                <w:highlight w:val="none"/>
              </w:rPr>
              <w:t>昌州财办建【2023】14号 2023年第六批自治区预算内投资-第二殡仪馆建设项目前期费</w:t>
            </w:r>
          </w:p>
        </w:tc>
        <w:tc>
          <w:tcPr>
            <w:tcW w:w="850" w:type="dxa"/>
            <w:vAlign w:val="center"/>
          </w:tcPr>
          <w:p>
            <w:pPr>
              <w:spacing w:line="240" w:lineRule="auto"/>
              <w:jc w:val="center"/>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25</w:t>
            </w:r>
          </w:p>
        </w:tc>
        <w:tc>
          <w:tcPr>
            <w:tcW w:w="1054" w:type="dxa"/>
            <w:vAlign w:val="center"/>
          </w:tcPr>
          <w:p>
            <w:pPr>
              <w:spacing w:line="240" w:lineRule="auto"/>
              <w:jc w:val="center"/>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25</w:t>
            </w:r>
          </w:p>
        </w:tc>
        <w:tc>
          <w:tcPr>
            <w:tcW w:w="890" w:type="dxa"/>
            <w:vAlign w:val="center"/>
          </w:tcPr>
          <w:p>
            <w:pPr>
              <w:spacing w:line="240" w:lineRule="auto"/>
              <w:jc w:val="center"/>
              <w:rPr>
                <w:rFonts w:hint="eastAsia" w:ascii="仿宋_GB2312" w:hAnsi="宋体" w:eastAsia="仿宋_GB2312"/>
                <w:color w:val="auto"/>
                <w:kern w:val="0"/>
                <w:sz w:val="20"/>
                <w:szCs w:val="20"/>
                <w:highlight w:val="none"/>
                <w:lang w:val="en-US" w:eastAsia="zh-CN"/>
              </w:rPr>
            </w:pPr>
          </w:p>
        </w:tc>
        <w:tc>
          <w:tcPr>
            <w:tcW w:w="714" w:type="dxa"/>
            <w:vAlign w:val="center"/>
          </w:tcPr>
          <w:p>
            <w:pPr>
              <w:spacing w:line="240" w:lineRule="auto"/>
              <w:jc w:val="center"/>
              <w:rPr>
                <w:rFonts w:hint="eastAsia" w:ascii="仿宋_GB2312" w:hAnsi="宋体" w:eastAsia="仿宋_GB2312"/>
                <w:color w:val="auto"/>
                <w:kern w:val="0"/>
                <w:sz w:val="20"/>
                <w:szCs w:val="20"/>
                <w:highlight w:val="none"/>
                <w:lang w:val="en-US" w:eastAsia="zh-CN"/>
              </w:rPr>
            </w:pPr>
          </w:p>
        </w:tc>
        <w:tc>
          <w:tcPr>
            <w:tcW w:w="1211" w:type="dxa"/>
            <w:vAlign w:val="center"/>
          </w:tcPr>
          <w:p>
            <w:pPr>
              <w:spacing w:line="240" w:lineRule="auto"/>
              <w:jc w:val="center"/>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25</w:t>
            </w: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240" w:lineRule="auto"/>
              <w:jc w:val="center"/>
              <w:rPr>
                <w:rFonts w:ascii="仿宋" w:hAnsi="仿宋" w:eastAsia="仿宋" w:cs="仿宋_GB2312"/>
                <w:bCs/>
                <w:color w:val="auto"/>
                <w:kern w:val="0"/>
                <w:sz w:val="28"/>
                <w:szCs w:val="28"/>
                <w:highlight w:val="none"/>
              </w:rPr>
            </w:pPr>
            <w:r>
              <w:rPr>
                <w:rFonts w:hint="eastAsia" w:ascii="仿宋_GB2312" w:hAnsi="宋体" w:eastAsia="仿宋_GB2312"/>
                <w:color w:val="auto"/>
                <w:kern w:val="0"/>
                <w:sz w:val="20"/>
                <w:szCs w:val="20"/>
                <w:highlight w:val="none"/>
              </w:rPr>
              <w:t>昌州财办建【2023】1号-2023年社会服务设兜底工程中央基建投资预算</w:t>
            </w:r>
          </w:p>
        </w:tc>
        <w:tc>
          <w:tcPr>
            <w:tcW w:w="850" w:type="dxa"/>
            <w:vAlign w:val="center"/>
          </w:tcPr>
          <w:p>
            <w:pPr>
              <w:spacing w:line="240" w:lineRule="auto"/>
              <w:jc w:val="center"/>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1.02</w:t>
            </w:r>
          </w:p>
        </w:tc>
        <w:tc>
          <w:tcPr>
            <w:tcW w:w="1054" w:type="dxa"/>
            <w:vAlign w:val="center"/>
          </w:tcPr>
          <w:p>
            <w:pPr>
              <w:spacing w:line="240" w:lineRule="auto"/>
              <w:jc w:val="center"/>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1.02</w:t>
            </w:r>
          </w:p>
        </w:tc>
        <w:tc>
          <w:tcPr>
            <w:tcW w:w="890" w:type="dxa"/>
            <w:vAlign w:val="center"/>
          </w:tcPr>
          <w:p>
            <w:pPr>
              <w:spacing w:line="240" w:lineRule="auto"/>
              <w:jc w:val="center"/>
              <w:rPr>
                <w:rFonts w:hint="eastAsia" w:ascii="仿宋_GB2312" w:hAnsi="宋体" w:eastAsia="仿宋_GB2312"/>
                <w:color w:val="auto"/>
                <w:kern w:val="0"/>
                <w:sz w:val="20"/>
                <w:szCs w:val="20"/>
                <w:highlight w:val="none"/>
                <w:lang w:val="en-US" w:eastAsia="zh-CN"/>
              </w:rPr>
            </w:pPr>
          </w:p>
        </w:tc>
        <w:tc>
          <w:tcPr>
            <w:tcW w:w="714" w:type="dxa"/>
            <w:vAlign w:val="center"/>
          </w:tcPr>
          <w:p>
            <w:pPr>
              <w:spacing w:line="240" w:lineRule="auto"/>
              <w:jc w:val="center"/>
              <w:rPr>
                <w:rFonts w:hint="eastAsia" w:ascii="仿宋_GB2312" w:hAnsi="宋体" w:eastAsia="仿宋_GB2312"/>
                <w:color w:val="auto"/>
                <w:kern w:val="0"/>
                <w:sz w:val="20"/>
                <w:szCs w:val="20"/>
                <w:highlight w:val="none"/>
                <w:lang w:val="en-US" w:eastAsia="zh-CN"/>
              </w:rPr>
            </w:pPr>
          </w:p>
        </w:tc>
        <w:tc>
          <w:tcPr>
            <w:tcW w:w="1211" w:type="dxa"/>
            <w:vAlign w:val="center"/>
          </w:tcPr>
          <w:p>
            <w:pPr>
              <w:spacing w:line="240" w:lineRule="auto"/>
              <w:jc w:val="center"/>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1.02</w:t>
            </w: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4"/>
                <w:szCs w:val="24"/>
                <w:highlight w:val="none"/>
                <w:lang w:val="en-US" w:eastAsia="zh-CN"/>
              </w:rPr>
              <w:t>26.02</w:t>
            </w: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4"/>
                <w:szCs w:val="24"/>
                <w:highlight w:val="none"/>
                <w:lang w:val="en-US" w:eastAsia="zh-CN"/>
              </w:rPr>
              <w:t>26.02</w:t>
            </w: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4"/>
                <w:szCs w:val="24"/>
                <w:highlight w:val="none"/>
                <w:lang w:val="en-US" w:eastAsia="zh-CN"/>
              </w:rPr>
              <w:t>26.02</w:t>
            </w: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hint="eastAsia" w:ascii="仿宋_GB2312" w:hAnsi="宋体" w:eastAsia="仿宋_GB2312"/>
          <w:color w:val="auto"/>
          <w:kern w:val="0"/>
          <w:sz w:val="32"/>
          <w:szCs w:val="32"/>
          <w:highlight w:val="none"/>
          <w:lang w:val="en-US" w:eastAsia="zh-CN"/>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r>
        <w:rPr>
          <w:rFonts w:hint="eastAsia" w:ascii="仿宋_GB2312" w:hAnsi="宋体" w:eastAsia="仿宋_GB2312"/>
          <w:color w:val="auto"/>
          <w:kern w:val="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呼图壁县殡葬管理所</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呼图壁县殡葬管理所</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呼图壁县殡葬管理所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 xml:space="preserve">所有收入和支出均纳入单位预算管理。收支总预算    </w:t>
      </w:r>
      <w:r>
        <w:rPr>
          <w:rFonts w:hint="eastAsia" w:ascii="仿宋_GB2312" w:hAnsi="宋体" w:eastAsia="仿宋_GB2312" w:cs="宋体"/>
          <w:color w:val="auto"/>
          <w:kern w:val="0"/>
          <w:sz w:val="32"/>
          <w:szCs w:val="32"/>
          <w:highlight w:val="none"/>
          <w:lang w:val="en-US" w:eastAsia="zh-CN"/>
        </w:rPr>
        <w:t>211.51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209.46万元，单位资金2.05万元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val="en-US" w:eastAsia="zh-CN"/>
        </w:rPr>
        <w:t>25万元</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184.46万元。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w:t>
      </w:r>
      <w:r>
        <w:rPr>
          <w:rFonts w:hint="eastAsia" w:ascii="楷体_GB2312" w:hAnsi="楷体_GB2312" w:eastAsia="楷体_GB2312" w:cs="楷体_GB2312"/>
          <w:b/>
          <w:bCs/>
          <w:color w:val="auto"/>
          <w:kern w:val="0"/>
          <w:sz w:val="32"/>
          <w:szCs w:val="32"/>
          <w:highlight w:val="none"/>
          <w:lang w:val="en-US" w:eastAsia="zh-CN"/>
        </w:rPr>
        <w:t>呼图壁县殡葬管理所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呼图壁县殡葬管理所</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211.51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183.45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86.73</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65.2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26.22%，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由于机构转隶，殡葬管理所在职在编类及退休人员预算由民政局统一编制算。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FF0000"/>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2.05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0.97</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29.95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93.59%，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机构转隶，</w:t>
      </w:r>
      <w:r>
        <w:rPr>
          <w:rFonts w:hint="eastAsia" w:ascii="仿宋_GB2312" w:hAnsi="宋体" w:eastAsia="仿宋_GB2312" w:cs="宋体"/>
          <w:color w:val="auto"/>
          <w:kern w:val="0"/>
          <w:sz w:val="32"/>
          <w:szCs w:val="32"/>
          <w:highlight w:val="none"/>
          <w:lang w:val="en-US" w:eastAsia="zh-CN"/>
        </w:rPr>
        <w:t>人员预算由民政局统一编制算</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strike w:val="0"/>
          <w:dstrike w:val="0"/>
          <w:color w:val="auto"/>
          <w:kern w:val="0"/>
          <w:sz w:val="32"/>
          <w:szCs w:val="32"/>
          <w:highlight w:val="none"/>
        </w:rPr>
      </w:pPr>
      <w:r>
        <w:rPr>
          <w:rFonts w:hint="eastAsia" w:ascii="仿宋_GB2312" w:hAnsi="宋体" w:eastAsia="仿宋_GB2312" w:cs="宋体"/>
          <w:strike w:val="0"/>
          <w:dstrike w:val="0"/>
          <w:color w:val="auto"/>
          <w:kern w:val="0"/>
          <w:sz w:val="32"/>
          <w:szCs w:val="32"/>
          <w:highlight w:val="none"/>
          <w:lang w:val="en-US" w:eastAsia="zh-Hans"/>
        </w:rPr>
        <w:t>财政拨款结转</w:t>
      </w:r>
      <w:r>
        <w:rPr>
          <w:rFonts w:hint="eastAsia" w:ascii="仿宋_GB2312" w:hAnsi="宋体" w:eastAsia="仿宋_GB2312" w:cs="宋体"/>
          <w:strike w:val="0"/>
          <w:dstrike w:val="0"/>
          <w:color w:val="auto"/>
          <w:kern w:val="0"/>
          <w:sz w:val="32"/>
          <w:szCs w:val="32"/>
          <w:highlight w:val="none"/>
          <w:lang w:val="en-US" w:eastAsia="zh-CN"/>
        </w:rPr>
        <w:t>26.02</w:t>
      </w:r>
      <w:r>
        <w:rPr>
          <w:rFonts w:hint="eastAsia" w:ascii="仿宋_GB2312" w:hAnsi="宋体" w:eastAsia="仿宋_GB2312" w:cs="宋体"/>
          <w:strike w:val="0"/>
          <w:dstrike w:val="0"/>
          <w:color w:val="auto"/>
          <w:kern w:val="0"/>
          <w:sz w:val="32"/>
          <w:szCs w:val="32"/>
          <w:highlight w:val="none"/>
        </w:rPr>
        <w:t>万元，占</w:t>
      </w:r>
      <w:r>
        <w:rPr>
          <w:rFonts w:hint="eastAsia" w:ascii="仿宋_GB2312" w:hAnsi="宋体" w:eastAsia="仿宋_GB2312" w:cs="宋体"/>
          <w:strike w:val="0"/>
          <w:dstrike w:val="0"/>
          <w:color w:val="auto"/>
          <w:kern w:val="0"/>
          <w:sz w:val="32"/>
          <w:szCs w:val="32"/>
          <w:highlight w:val="none"/>
          <w:lang w:val="en-US" w:eastAsia="zh-CN"/>
        </w:rPr>
        <w:t>12.3</w:t>
      </w:r>
      <w:r>
        <w:rPr>
          <w:rFonts w:hint="eastAsia" w:ascii="仿宋_GB2312" w:hAnsi="宋体" w:eastAsia="仿宋_GB2312" w:cs="宋体"/>
          <w:strike w:val="0"/>
          <w:dstrike w:val="0"/>
          <w:color w:val="auto"/>
          <w:kern w:val="0"/>
          <w:sz w:val="32"/>
          <w:szCs w:val="32"/>
          <w:highlight w:val="none"/>
        </w:rPr>
        <w:t xml:space="preserve">%，比上年预算增加  </w:t>
      </w:r>
      <w:r>
        <w:rPr>
          <w:rFonts w:hint="eastAsia" w:ascii="仿宋_GB2312" w:hAnsi="宋体" w:eastAsia="仿宋_GB2312" w:cs="宋体"/>
          <w:strike w:val="0"/>
          <w:dstrike w:val="0"/>
          <w:color w:val="auto"/>
          <w:kern w:val="0"/>
          <w:sz w:val="32"/>
          <w:szCs w:val="32"/>
          <w:highlight w:val="none"/>
          <w:lang w:val="en-US" w:eastAsia="zh-CN"/>
        </w:rPr>
        <w:t>26.02</w:t>
      </w:r>
      <w:r>
        <w:rPr>
          <w:rFonts w:hint="eastAsia" w:ascii="仿宋_GB2312" w:hAnsi="宋体" w:eastAsia="仿宋_GB2312" w:cs="宋体"/>
          <w:strike w:val="0"/>
          <w:dstrike w:val="0"/>
          <w:color w:val="auto"/>
          <w:kern w:val="0"/>
          <w:sz w:val="32"/>
          <w:szCs w:val="32"/>
          <w:highlight w:val="none"/>
        </w:rPr>
        <w:t>万元，</w:t>
      </w:r>
      <w:r>
        <w:rPr>
          <w:rFonts w:hint="eastAsia" w:ascii="仿宋_GB2312" w:hAnsi="宋体" w:eastAsia="仿宋_GB2312" w:cs="宋体"/>
          <w:strike w:val="0"/>
          <w:dstrike w:val="0"/>
          <w:color w:val="auto"/>
          <w:kern w:val="0"/>
          <w:sz w:val="32"/>
          <w:szCs w:val="32"/>
          <w:highlight w:val="none"/>
          <w:lang w:eastAsia="zh-CN"/>
        </w:rPr>
        <w:t>增长</w:t>
      </w:r>
      <w:r>
        <w:rPr>
          <w:rFonts w:hint="eastAsia" w:ascii="仿宋_GB2312" w:hAnsi="宋体" w:eastAsia="仿宋_GB2312" w:cs="宋体"/>
          <w:strike w:val="0"/>
          <w:dstrike w:val="0"/>
          <w:color w:val="auto"/>
          <w:kern w:val="0"/>
          <w:sz w:val="32"/>
          <w:szCs w:val="32"/>
          <w:highlight w:val="none"/>
          <w:lang w:val="en-US" w:eastAsia="zh-CN"/>
        </w:rPr>
        <w:t>100%，</w:t>
      </w:r>
      <w:r>
        <w:rPr>
          <w:rFonts w:hint="eastAsia" w:ascii="仿宋_GB2312" w:hAnsi="宋体" w:eastAsia="仿宋_GB2312" w:cs="宋体"/>
          <w:strike w:val="0"/>
          <w:dstrike w:val="0"/>
          <w:color w:val="auto"/>
          <w:kern w:val="0"/>
          <w:sz w:val="32"/>
          <w:szCs w:val="32"/>
          <w:highlight w:val="none"/>
        </w:rPr>
        <w:t>主要原因是</w:t>
      </w:r>
      <w:r>
        <w:rPr>
          <w:rFonts w:hint="eastAsia" w:ascii="仿宋_GB2312" w:hAnsi="宋体" w:eastAsia="仿宋_GB2312" w:cs="宋体"/>
          <w:strike w:val="0"/>
          <w:dstrike w:val="0"/>
          <w:color w:val="auto"/>
          <w:kern w:val="0"/>
          <w:sz w:val="32"/>
          <w:szCs w:val="32"/>
          <w:highlight w:val="none"/>
          <w:lang w:val="en-US" w:eastAsia="zh-CN"/>
        </w:rPr>
        <w:t>第二殡仪馆建设前期费和专项设备购置资金。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w:t>
      </w:r>
      <w:r>
        <w:rPr>
          <w:rFonts w:hint="eastAsia" w:ascii="楷体_GB2312" w:hAnsi="楷体_GB2312" w:eastAsia="楷体_GB2312" w:cs="楷体_GB2312"/>
          <w:b/>
          <w:bCs/>
          <w:color w:val="auto"/>
          <w:kern w:val="0"/>
          <w:sz w:val="32"/>
          <w:szCs w:val="32"/>
          <w:highlight w:val="none"/>
          <w:lang w:val="en-US" w:eastAsia="zh-CN"/>
        </w:rPr>
        <w:t>殡葬管理所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呼图壁县殡葬管理所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211.51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89.49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42.31</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21.41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19.31%，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机构转隶，</w:t>
      </w:r>
      <w:r>
        <w:rPr>
          <w:rFonts w:hint="eastAsia" w:ascii="仿宋_GB2312" w:hAnsi="宋体" w:eastAsia="仿宋_GB2312" w:cs="宋体"/>
          <w:color w:val="auto"/>
          <w:kern w:val="0"/>
          <w:sz w:val="32"/>
          <w:szCs w:val="32"/>
          <w:highlight w:val="none"/>
          <w:lang w:val="en-US" w:eastAsia="zh-CN"/>
        </w:rPr>
        <w:t>人员预算由民政局统一编制算</w:t>
      </w:r>
      <w:r>
        <w:rPr>
          <w:rFonts w:hint="eastAsia" w:ascii="仿宋_GB2312" w:hAnsi="宋体" w:eastAsia="仿宋_GB2312" w:cs="宋体"/>
          <w:color w:val="FF0000"/>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殡葬管理所在职在编类及退休人员预算由民政局统一编制算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122.02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57.69</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47.73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28.12%，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墓穴修建费用减少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w:t>
      </w:r>
      <w:r>
        <w:rPr>
          <w:rFonts w:hint="eastAsia" w:ascii="楷体_GB2312" w:hAnsi="楷体_GB2312" w:eastAsia="楷体_GB2312" w:cs="楷体_GB2312"/>
          <w:b/>
          <w:bCs/>
          <w:color w:val="auto"/>
          <w:kern w:val="0"/>
          <w:sz w:val="32"/>
          <w:szCs w:val="32"/>
          <w:highlight w:val="none"/>
          <w:lang w:val="en-US" w:eastAsia="zh-CN"/>
        </w:rPr>
        <w:t>殡葬管理所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209.46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209.46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25</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color w:val="auto"/>
          <w:kern w:val="0"/>
          <w:sz w:val="32"/>
          <w:szCs w:val="32"/>
          <w:highlight w:val="none"/>
          <w:lang w:val="en-US" w:eastAsia="zh-CN"/>
        </w:rPr>
        <w:t>第二殡仪馆建设前期费</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184.46万元，主要用于殡仪馆运行费、殡仪馆同工同酬工资社保公积金、</w:t>
      </w:r>
      <w:r>
        <w:rPr>
          <w:rFonts w:hint="eastAsia" w:ascii="仿宋_GB2312" w:hAnsi="宋体" w:eastAsia="仿宋_GB2312" w:cs="宋体"/>
          <w:strike w:val="0"/>
          <w:dstrike w:val="0"/>
          <w:color w:val="auto"/>
          <w:kern w:val="0"/>
          <w:sz w:val="32"/>
          <w:szCs w:val="32"/>
          <w:highlight w:val="none"/>
          <w:lang w:val="en-US" w:eastAsia="zh-CN"/>
        </w:rPr>
        <w:t>第二殡仪馆建设前期费和专项设备购置资金。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lang w:val="en-US" w:eastAsia="zh-CN"/>
        </w:rPr>
        <w:t>呼图壁县殡葬管理所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呼图壁县殡葬管理所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一般公共预算拨款合计 </w:t>
      </w:r>
      <w:r>
        <w:rPr>
          <w:rFonts w:hint="eastAsia" w:ascii="仿宋_GB2312" w:hAnsi="仿宋_GB2312" w:eastAsia="仿宋_GB2312" w:cs="仿宋_GB2312"/>
          <w:color w:val="auto"/>
          <w:kern w:val="0"/>
          <w:sz w:val="32"/>
          <w:szCs w:val="32"/>
          <w:highlight w:val="none"/>
          <w:lang w:val="en-US" w:eastAsia="zh-CN"/>
        </w:rPr>
        <w:t>209.46</w:t>
      </w:r>
      <w:r>
        <w:rPr>
          <w:rFonts w:hint="eastAsia" w:ascii="仿宋_GB2312" w:hAnsi="仿宋_GB2312" w:eastAsia="仿宋_GB2312" w:cs="仿宋_GB2312"/>
          <w:color w:val="auto"/>
          <w:kern w:val="0"/>
          <w:sz w:val="32"/>
          <w:szCs w:val="32"/>
          <w:highlight w:val="none"/>
        </w:rPr>
        <w:t xml:space="preserve"> 万元，其中：基本支出</w:t>
      </w:r>
      <w:r>
        <w:rPr>
          <w:rFonts w:hint="eastAsia" w:ascii="仿宋_GB2312" w:hAnsi="仿宋_GB2312" w:eastAsia="仿宋_GB2312" w:cs="仿宋_GB2312"/>
          <w:color w:val="auto"/>
          <w:kern w:val="0"/>
          <w:sz w:val="32"/>
          <w:szCs w:val="32"/>
          <w:highlight w:val="none"/>
          <w:lang w:val="en-US" w:eastAsia="zh-CN"/>
        </w:rPr>
        <w:t>87.45</w:t>
      </w:r>
      <w:r>
        <w:rPr>
          <w:rFonts w:hint="eastAsia" w:ascii="仿宋_GB2312" w:hAnsi="仿宋_GB2312" w:eastAsia="仿宋_GB2312" w:cs="仿宋_GB2312"/>
          <w:color w:val="auto"/>
          <w:kern w:val="0"/>
          <w:sz w:val="32"/>
          <w:szCs w:val="32"/>
          <w:highlight w:val="none"/>
        </w:rPr>
        <w:t>万元，比上年预算增减少</w:t>
      </w:r>
      <w:r>
        <w:rPr>
          <w:rFonts w:hint="eastAsia" w:ascii="仿宋_GB2312" w:hAnsi="仿宋_GB2312" w:eastAsia="仿宋_GB2312" w:cs="仿宋_GB2312"/>
          <w:color w:val="auto"/>
          <w:kern w:val="0"/>
          <w:sz w:val="32"/>
          <w:szCs w:val="32"/>
          <w:highlight w:val="none"/>
          <w:lang w:val="en-US" w:eastAsia="zh-CN"/>
        </w:rPr>
        <w:t>23.45</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21.15</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殡葬管理所在职在编类及退休人员预算由民政局统一编制算</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122.01</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47.74</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28.12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墓穴修建费用减少。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1.一般公共服务（类</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val="en-US" w:eastAsia="zh-CN"/>
        </w:rPr>
        <w:t>25</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11.94</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strike/>
          <w:dstrike w:val="0"/>
          <w:color w:val="auto"/>
          <w:sz w:val="32"/>
          <w:szCs w:val="32"/>
          <w:highlight w:val="none"/>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color w:val="auto"/>
          <w:kern w:val="0"/>
          <w:sz w:val="32"/>
          <w:szCs w:val="32"/>
          <w:highlight w:val="none"/>
          <w:lang w:val="en-US" w:eastAsia="zh-CN"/>
        </w:rPr>
        <w:t>社会保障和就业（类）184.46万元，占88.06%。</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1.一般公共服务</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201</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发展与改革事务</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04</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其他发展与改革事务</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99</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25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增加第二殡仪馆建设项目前期费。</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color w:val="auto"/>
          <w:kern w:val="0"/>
          <w:sz w:val="32"/>
          <w:szCs w:val="32"/>
          <w:highlight w:val="none"/>
          <w:lang w:val="en-US" w:eastAsia="zh-CN"/>
        </w:rPr>
        <w:t>社会保障和就业支出（208）社会福利（10）殡葬（04）：2024年预算数为184.46万元，比上年预算减少60.08万元，减少24.57%，主要原因是：</w:t>
      </w:r>
      <w:r>
        <w:rPr>
          <w:rFonts w:hint="eastAsia" w:ascii="仿宋_GB2312" w:hAnsi="宋体" w:eastAsia="仿宋_GB2312" w:cs="宋体"/>
          <w:color w:val="auto"/>
          <w:kern w:val="0"/>
          <w:sz w:val="32"/>
          <w:szCs w:val="32"/>
          <w:highlight w:val="none"/>
          <w:lang w:val="en-US" w:eastAsia="zh-CN"/>
        </w:rPr>
        <w:t>殡葬管理所在职在编类及退休人员预算由民政局统一编制算</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lang w:val="en-US" w:eastAsia="zh-CN"/>
        </w:rPr>
        <w:t>呼图壁县殡葬管理所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呼图壁县殡葬管理所</w:t>
      </w:r>
      <w:r>
        <w:rPr>
          <w:rFonts w:hint="eastAsia" w:ascii="仿宋_GB2312" w:hAnsi="仿宋_GB2312" w:eastAsia="仿宋_GB2312" w:cs="仿宋_GB2312"/>
          <w:color w:val="auto"/>
          <w:kern w:val="0"/>
          <w:sz w:val="32"/>
          <w:szCs w:val="32"/>
          <w:highlight w:val="none"/>
          <w:lang w:eastAsia="zh-CN"/>
        </w:rPr>
        <w:t xml:space="preserve">2024年一般公共预算基本支出 </w:t>
      </w:r>
      <w:r>
        <w:rPr>
          <w:rFonts w:hint="eastAsia" w:ascii="仿宋_GB2312" w:hAnsi="仿宋_GB2312" w:eastAsia="仿宋_GB2312" w:cs="仿宋_GB2312"/>
          <w:color w:val="auto"/>
          <w:kern w:val="0"/>
          <w:sz w:val="32"/>
          <w:szCs w:val="32"/>
          <w:highlight w:val="none"/>
          <w:lang w:val="en-US" w:eastAsia="zh-CN"/>
        </w:rPr>
        <w:t>87.45</w:t>
      </w:r>
      <w:r>
        <w:rPr>
          <w:rFonts w:hint="eastAsia" w:ascii="仿宋_GB2312" w:hAnsi="仿宋_GB2312" w:eastAsia="仿宋_GB2312" w:cs="仿宋_GB2312"/>
          <w:color w:val="auto"/>
          <w:kern w:val="0"/>
          <w:sz w:val="32"/>
          <w:szCs w:val="32"/>
          <w:highlight w:val="none"/>
          <w:lang w:eastAsia="zh-CN"/>
        </w:rPr>
        <w:t xml:space="preserve"> 万元， 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人员经费</w:t>
      </w:r>
      <w:r>
        <w:rPr>
          <w:rFonts w:hint="eastAsia" w:ascii="仿宋_GB2312" w:hAnsi="仿宋_GB2312" w:eastAsia="仿宋_GB2312" w:cs="仿宋_GB2312"/>
          <w:color w:val="auto"/>
          <w:kern w:val="0"/>
          <w:sz w:val="32"/>
          <w:szCs w:val="32"/>
          <w:highlight w:val="none"/>
          <w:lang w:val="en-US" w:eastAsia="zh-CN"/>
        </w:rPr>
        <w:t>87.45</w:t>
      </w:r>
      <w:r>
        <w:rPr>
          <w:rFonts w:hint="eastAsia" w:ascii="仿宋_GB2312" w:hAnsi="仿宋_GB2312" w:eastAsia="仿宋_GB2312" w:cs="仿宋_GB2312"/>
          <w:color w:val="auto"/>
          <w:kern w:val="0"/>
          <w:sz w:val="32"/>
          <w:szCs w:val="32"/>
          <w:highlight w:val="none"/>
          <w:lang w:eastAsia="zh-CN"/>
        </w:rPr>
        <w:t>万元，主要包括：</w:t>
      </w:r>
      <w:r>
        <w:rPr>
          <w:rFonts w:hint="eastAsia" w:ascii="仿宋_GB2312" w:hAnsi="仿宋_GB2312" w:eastAsia="仿宋_GB2312" w:cs="仿宋_GB2312"/>
          <w:color w:val="auto"/>
          <w:kern w:val="0"/>
          <w:sz w:val="32"/>
          <w:szCs w:val="32"/>
          <w:highlight w:val="none"/>
          <w:lang w:val="en-US" w:eastAsia="zh-CN"/>
        </w:rPr>
        <w:t>同工同酬工资、社保、公积金。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ascii="仿宋_GB2312" w:hAnsi="黑体" w:eastAsia="仿宋_GB2312"/>
          <w:b/>
          <w:strike/>
          <w:dstrike w:val="0"/>
          <w:color w:val="auto"/>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lang w:val="en-US" w:eastAsia="zh-CN"/>
        </w:rPr>
        <w:t>呼图壁县殡葬管理所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第二殡仪馆建设项目前期费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昌州财办建【2023】14号-2023年第六批自治区预算内投资</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呼图壁县殡葬管理所</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25万元殡仪馆建设项目前期费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殡仪馆配套设施设备项目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昌州财办建【2023】1号-2023年社会服务设施兜底工程中央基建投资预算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1.02万元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呼图壁县殡葬管理所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1.02万元殡仪馆配套设施设备项目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FF0000"/>
          <w:kern w:val="0"/>
          <w:sz w:val="32"/>
          <w:szCs w:val="32"/>
          <w:highlight w:val="none"/>
          <w:lang w:val="en-US" w:eastAsia="zh-CN"/>
        </w:rPr>
      </w:pPr>
      <w:r>
        <w:rPr>
          <w:rFonts w:hint="eastAsia" w:ascii="仿宋_GB2312" w:hAnsi="黑体" w:eastAsia="仿宋_GB2312"/>
          <w:color w:val="FF0000"/>
          <w:sz w:val="32"/>
          <w:szCs w:val="32"/>
          <w:highlight w:val="none"/>
          <w:lang w:val="en-US" w:eastAsia="zh-CN"/>
        </w:rPr>
        <w:t>3.</w:t>
      </w:r>
      <w:r>
        <w:rPr>
          <w:rFonts w:hint="eastAsia" w:ascii="仿宋_GB2312" w:hAnsi="黑体" w:eastAsia="仿宋_GB2312"/>
          <w:color w:val="FF0000"/>
          <w:sz w:val="32"/>
          <w:szCs w:val="32"/>
          <w:highlight w:val="none"/>
        </w:rPr>
        <w:t>项目</w:t>
      </w:r>
      <w:r>
        <w:rPr>
          <w:rFonts w:ascii="仿宋_GB2312" w:hAnsi="黑体" w:eastAsia="仿宋_GB2312"/>
          <w:color w:val="FF0000"/>
          <w:sz w:val="32"/>
          <w:szCs w:val="32"/>
          <w:highlight w:val="none"/>
        </w:rPr>
        <w:t>名称</w:t>
      </w:r>
      <w:r>
        <w:rPr>
          <w:rFonts w:hint="eastAsia" w:ascii="仿宋_GB2312" w:hAnsi="黑体" w:eastAsia="仿宋_GB2312"/>
          <w:color w:val="FF0000"/>
          <w:sz w:val="32"/>
          <w:szCs w:val="32"/>
          <w:highlight w:val="none"/>
        </w:rPr>
        <w:t>：</w:t>
      </w:r>
      <w:r>
        <w:rPr>
          <w:rFonts w:hint="eastAsia" w:ascii="仿宋_GB2312" w:hAnsi="宋体" w:eastAsia="仿宋_GB2312" w:cs="宋体"/>
          <w:color w:val="FF0000"/>
          <w:kern w:val="0"/>
          <w:sz w:val="32"/>
          <w:szCs w:val="32"/>
          <w:highlight w:val="none"/>
          <w:lang w:val="en-US" w:eastAsia="zh-CN"/>
        </w:rPr>
        <w:t>殡仪馆运行费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FF0000"/>
          <w:sz w:val="32"/>
          <w:szCs w:val="32"/>
          <w:highlight w:val="none"/>
          <w:lang w:val="en-US" w:eastAsia="zh-CN"/>
        </w:rPr>
      </w:pPr>
      <w:r>
        <w:rPr>
          <w:rFonts w:ascii="仿宋_GB2312" w:hAnsi="黑体" w:eastAsia="仿宋_GB2312"/>
          <w:color w:val="FF0000"/>
          <w:sz w:val="32"/>
          <w:szCs w:val="32"/>
          <w:highlight w:val="none"/>
        </w:rPr>
        <w:t>设立的政策依据</w:t>
      </w:r>
      <w:r>
        <w:rPr>
          <w:rFonts w:hint="eastAsia" w:ascii="仿宋_GB2312" w:hAnsi="黑体" w:eastAsia="仿宋_GB2312"/>
          <w:color w:val="FF0000"/>
          <w:sz w:val="32"/>
          <w:szCs w:val="32"/>
          <w:highlight w:val="none"/>
        </w:rPr>
        <w:t>：</w:t>
      </w:r>
      <w:r>
        <w:rPr>
          <w:rFonts w:hint="eastAsia" w:ascii="仿宋_GB2312" w:hAnsi="黑体" w:eastAsia="仿宋_GB2312"/>
          <w:color w:val="FF0000"/>
          <w:sz w:val="32"/>
          <w:szCs w:val="32"/>
          <w:highlight w:val="none"/>
          <w:lang w:val="en-US" w:eastAsia="zh-CN"/>
        </w:rPr>
        <w:t>呼财字【2024】5号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FF0000"/>
          <w:kern w:val="0"/>
          <w:sz w:val="32"/>
          <w:szCs w:val="32"/>
          <w:highlight w:val="none"/>
          <w:lang w:val="en-US" w:eastAsia="zh-CN"/>
        </w:rPr>
      </w:pPr>
      <w:r>
        <w:rPr>
          <w:rFonts w:ascii="仿宋_GB2312" w:hAnsi="黑体" w:eastAsia="仿宋_GB2312"/>
          <w:color w:val="FF0000"/>
          <w:sz w:val="32"/>
          <w:szCs w:val="32"/>
          <w:highlight w:val="none"/>
        </w:rPr>
        <w:t>预算安排规模</w:t>
      </w:r>
      <w:r>
        <w:rPr>
          <w:rFonts w:hint="eastAsia" w:ascii="仿宋_GB2312" w:hAnsi="黑体" w:eastAsia="仿宋_GB2312"/>
          <w:color w:val="FF0000"/>
          <w:sz w:val="32"/>
          <w:szCs w:val="32"/>
          <w:highlight w:val="none"/>
        </w:rPr>
        <w:t>：</w:t>
      </w:r>
      <w:r>
        <w:rPr>
          <w:rFonts w:hint="eastAsia" w:ascii="仿宋_GB2312" w:hAnsi="宋体" w:eastAsia="仿宋_GB2312" w:cs="宋体"/>
          <w:color w:val="FF0000"/>
          <w:kern w:val="0"/>
          <w:sz w:val="32"/>
          <w:szCs w:val="32"/>
          <w:highlight w:val="none"/>
          <w:lang w:val="en-US" w:eastAsia="zh-CN"/>
        </w:rPr>
        <w:t>209.47万元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FF0000"/>
          <w:kern w:val="0"/>
          <w:sz w:val="32"/>
          <w:szCs w:val="32"/>
          <w:highlight w:val="none"/>
          <w:lang w:val="en-US" w:eastAsia="zh-CN"/>
        </w:rPr>
      </w:pPr>
      <w:r>
        <w:rPr>
          <w:rFonts w:ascii="仿宋_GB2312" w:hAnsi="黑体" w:eastAsia="仿宋_GB2312"/>
          <w:color w:val="FF0000"/>
          <w:sz w:val="32"/>
          <w:szCs w:val="32"/>
          <w:highlight w:val="none"/>
        </w:rPr>
        <w:t>项目承担单位</w:t>
      </w:r>
      <w:r>
        <w:rPr>
          <w:rFonts w:hint="eastAsia" w:ascii="仿宋_GB2312" w:hAnsi="黑体" w:eastAsia="仿宋_GB2312"/>
          <w:color w:val="FF0000"/>
          <w:sz w:val="32"/>
          <w:szCs w:val="32"/>
          <w:highlight w:val="none"/>
        </w:rPr>
        <w:t>：</w:t>
      </w:r>
      <w:r>
        <w:rPr>
          <w:rFonts w:hint="eastAsia" w:ascii="仿宋_GB2312" w:hAnsi="宋体" w:eastAsia="仿宋_GB2312" w:cs="宋体"/>
          <w:color w:val="FF0000"/>
          <w:kern w:val="0"/>
          <w:sz w:val="32"/>
          <w:szCs w:val="32"/>
          <w:highlight w:val="none"/>
          <w:lang w:val="en-US" w:eastAsia="zh-CN"/>
        </w:rPr>
        <w:t>呼图壁县殡葬管理所</w:t>
      </w: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FF0000"/>
          <w:kern w:val="0"/>
          <w:sz w:val="32"/>
          <w:szCs w:val="32"/>
          <w:highlight w:val="none"/>
          <w:lang w:val="en-US" w:eastAsia="zh-CN"/>
        </w:rPr>
      </w:pPr>
      <w:r>
        <w:rPr>
          <w:rFonts w:ascii="仿宋_GB2312" w:hAnsi="黑体" w:eastAsia="仿宋_GB2312"/>
          <w:color w:val="FF0000"/>
          <w:sz w:val="32"/>
          <w:szCs w:val="32"/>
          <w:highlight w:val="none"/>
        </w:rPr>
        <w:t>资金分配情况</w:t>
      </w:r>
      <w:r>
        <w:rPr>
          <w:rFonts w:hint="eastAsia" w:ascii="仿宋_GB2312" w:hAnsi="黑体" w:eastAsia="仿宋_GB2312"/>
          <w:color w:val="FF0000"/>
          <w:sz w:val="32"/>
          <w:szCs w:val="32"/>
          <w:highlight w:val="none"/>
        </w:rPr>
        <w:t>：</w:t>
      </w:r>
      <w:r>
        <w:rPr>
          <w:rFonts w:hint="eastAsia" w:ascii="仿宋_GB2312" w:hAnsi="宋体" w:eastAsia="仿宋_GB2312" w:cs="宋体"/>
          <w:color w:val="FF0000"/>
          <w:kern w:val="0"/>
          <w:sz w:val="32"/>
          <w:szCs w:val="32"/>
          <w:highlight w:val="none"/>
          <w:lang w:val="en-US" w:eastAsia="zh-CN"/>
        </w:rPr>
        <w:t>209.47万元</w:t>
      </w:r>
      <w:r>
        <w:rPr>
          <w:rFonts w:hint="eastAsia" w:ascii="仿宋_GB2312" w:hAnsi="宋体" w:eastAsia="仿宋_GB2312" w:cs="宋体"/>
          <w:color w:val="FF0000"/>
          <w:kern w:val="0"/>
          <w:sz w:val="32"/>
          <w:szCs w:val="32"/>
          <w:highlight w:val="none"/>
          <w:lang w:val="en-US" w:eastAsia="zh-CN"/>
        </w:rPr>
        <w:t>殡仪馆运行费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FF0000"/>
          <w:sz w:val="32"/>
          <w:szCs w:val="32"/>
          <w:highlight w:val="none"/>
        </w:rPr>
        <w:t>资金执行时间</w:t>
      </w:r>
      <w:r>
        <w:rPr>
          <w:rFonts w:hint="eastAsia" w:ascii="仿宋_GB2312" w:hAnsi="黑体" w:eastAsia="仿宋_GB2312"/>
          <w:color w:val="FF0000"/>
          <w:sz w:val="32"/>
          <w:szCs w:val="32"/>
          <w:highlight w:val="none"/>
        </w:rPr>
        <w:t>：</w:t>
      </w:r>
      <w:r>
        <w:rPr>
          <w:rFonts w:hint="eastAsia" w:ascii="仿宋_GB2312" w:hAnsi="宋体" w:eastAsia="仿宋_GB2312" w:cs="宋体"/>
          <w:color w:val="FF0000"/>
          <w:kern w:val="0"/>
          <w:sz w:val="32"/>
          <w:szCs w:val="32"/>
          <w:highlight w:val="none"/>
          <w:lang w:val="en-US" w:eastAsia="zh-CN"/>
        </w:rPr>
        <w:t>2024年1月-12月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w:t>
      </w:r>
      <w:r>
        <w:rPr>
          <w:rFonts w:hint="eastAsia" w:ascii="楷体_GB2312" w:hAnsi="楷体_GB2312" w:eastAsia="楷体_GB2312" w:cs="楷体_GB2312"/>
          <w:b/>
          <w:bCs/>
          <w:color w:val="auto"/>
          <w:kern w:val="0"/>
          <w:sz w:val="32"/>
          <w:szCs w:val="32"/>
          <w:highlight w:val="none"/>
          <w:lang w:val="en-US" w:eastAsia="zh-CN"/>
        </w:rPr>
        <w:t>呼图壁县殡葬管理所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呼图壁县殡葬管理所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strike/>
          <w:dstrike w:val="0"/>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lang w:val="en-US" w:eastAsia="zh-CN"/>
        </w:rPr>
        <w:t>呼图壁县殡葬管理所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呼图壁县殡葬管理所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w:t>
      </w:r>
      <w:r>
        <w:rPr>
          <w:rFonts w:hint="eastAsia" w:ascii="楷体_GB2312" w:hAnsi="楷体_GB2312" w:eastAsia="楷体_GB2312" w:cs="楷体_GB2312"/>
          <w:b/>
          <w:bCs/>
          <w:color w:val="auto"/>
          <w:kern w:val="0"/>
          <w:sz w:val="32"/>
          <w:szCs w:val="32"/>
          <w:highlight w:val="none"/>
          <w:lang w:val="en-US" w:eastAsia="zh-CN"/>
        </w:rPr>
        <w:t>呼图壁县殡葬管理所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呼图壁县殡葬管理所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17.6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w:t>
      </w:r>
      <w:r>
        <w:rPr>
          <w:rFonts w:hint="eastAsia" w:ascii="楷体_GB2312" w:hAnsi="楷体_GB2312" w:eastAsia="楷体_GB2312" w:cs="楷体_GB2312"/>
          <w:b/>
          <w:bCs/>
          <w:color w:val="auto"/>
          <w:kern w:val="0"/>
          <w:sz w:val="32"/>
          <w:szCs w:val="32"/>
          <w:highlight w:val="none"/>
          <w:lang w:val="en-US" w:eastAsia="zh-CN"/>
        </w:rPr>
        <w:t>呼图壁县殡葬管理所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呼图壁县殡葬管理所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上年结转结余26.02万元，包括：财政拨款26.02万元，非财政拨款0万元，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1.昌州财办建【2023】14号 2023年第六批自治区预算内投资-第二殡仪馆建设项目前期费25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主要用于：第二殡仪馆建设项目前期费。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kern w:val="0"/>
          <w:sz w:val="32"/>
          <w:szCs w:val="32"/>
          <w:highlight w:val="none"/>
          <w:lang w:val="en-US" w:eastAsia="zh-CN"/>
        </w:rPr>
        <w:t>昌州财办建【2023】1号-2023年社会服务设兜底工程中央基建投资预算1.02万元，主要用于殡仪馆设施设备运行维护。</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呼图壁县殡葬管理所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93.45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93.45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增加殡仪馆办公费和同工同酬工资社保公积金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呼图壁县殡葬管理所</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25.4</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25.4</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呼图壁县殡葬管理所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25.4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25.4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呼图壁县殡葬管理所</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9655</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2758.52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11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125.63</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11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125.63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43.62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293.84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呼图壁县殡葬管理所</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r>
        <w:rPr>
          <w:rFonts w:hint="eastAsia" w:ascii="仿宋_GB2312" w:hAnsi="仿宋_GB2312" w:eastAsia="仿宋_GB2312" w:cs="仿宋_GB2312"/>
          <w:color w:val="auto"/>
          <w:kern w:val="0"/>
          <w:sz w:val="32"/>
          <w:szCs w:val="32"/>
          <w:highlight w:val="none"/>
          <w:lang w:val="en-US" w:eastAsia="zh-CN"/>
        </w:rPr>
        <w:t>呼图壁县殡葬管理所</w:t>
      </w:r>
      <w:r>
        <w:rPr>
          <w:rFonts w:hint="eastAsia" w:ascii="仿宋_GB2312" w:hAnsi="仿宋_GB2312" w:eastAsia="仿宋_GB2312" w:cs="仿宋_GB2312"/>
          <w:color w:val="auto"/>
          <w:kern w:val="0"/>
          <w:sz w:val="32"/>
          <w:szCs w:val="32"/>
          <w:highlight w:val="none"/>
        </w:rPr>
        <w:t>部门价值100万元以上大型设备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呼图壁县殡葬管理所</w:t>
      </w:r>
      <w:r>
        <w:rPr>
          <w:rFonts w:hint="eastAsia" w:ascii="仿宋_GB2312" w:hAnsi="仿宋_GB2312" w:eastAsia="仿宋_GB2312" w:cs="仿宋_GB2312"/>
          <w:color w:val="auto"/>
          <w:kern w:val="0"/>
          <w:sz w:val="32"/>
          <w:szCs w:val="32"/>
          <w:highlight w:val="none"/>
        </w:rPr>
        <w:t>预算未安排购置车辆经费（或安排购置车辆经费</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FF0000"/>
          <w:kern w:val="0"/>
          <w:sz w:val="32"/>
          <w:szCs w:val="32"/>
          <w:highlight w:val="none"/>
          <w:lang w:val="en-US" w:eastAsia="zh-CN"/>
        </w:rPr>
      </w:pPr>
      <w:r>
        <w:rPr>
          <w:rFonts w:hint="eastAsia" w:ascii="仿宋_GB2312" w:hAnsi="仿宋_GB2312" w:eastAsia="仿宋_GB2312" w:cs="仿宋_GB2312"/>
          <w:b/>
          <w:color w:val="FF0000"/>
          <w:kern w:val="0"/>
          <w:sz w:val="32"/>
          <w:szCs w:val="32"/>
          <w:highlight w:val="none"/>
          <w:lang w:val="en-US" w:eastAsia="zh-Hans"/>
        </w:rPr>
        <w:t>（四）</w:t>
      </w:r>
      <w:r>
        <w:rPr>
          <w:rFonts w:hint="eastAsia" w:ascii="仿宋_GB2312" w:hAnsi="仿宋_GB2312" w:eastAsia="仿宋_GB2312" w:cs="仿宋_GB2312"/>
          <w:b/>
          <w:color w:val="FF0000"/>
          <w:kern w:val="0"/>
          <w:sz w:val="32"/>
          <w:szCs w:val="32"/>
          <w:highlight w:val="none"/>
        </w:rPr>
        <w:t>预算绩效情况</w:t>
      </w:r>
    </w:p>
    <w:p>
      <w:pPr>
        <w:keepNext w:val="0"/>
        <w:keepLines w:val="0"/>
        <w:widowControl/>
        <w:suppressLineNumbers w:val="0"/>
        <w:ind w:firstLine="640" w:firstLineChars="200"/>
        <w:jc w:val="both"/>
        <w:textAlignment w:val="center"/>
        <w:rPr>
          <w:rFonts w:hint="eastAsia" w:ascii="仿宋_GB2312" w:hAnsi="宋体" w:eastAsia="仿宋_GB2312" w:cs="仿宋_GB2312"/>
          <w:b/>
          <w:color w:val="FF0000"/>
          <w:kern w:val="0"/>
          <w:sz w:val="32"/>
          <w:szCs w:val="32"/>
          <w:highlight w:val="none"/>
          <w:lang w:val="en-US" w:eastAsia="zh-CN" w:bidi="ar"/>
        </w:rPr>
      </w:pPr>
      <w:r>
        <w:rPr>
          <w:rFonts w:hint="eastAsia" w:ascii="仿宋_GB2312" w:hAnsi="仿宋_GB2312" w:eastAsia="仿宋_GB2312" w:cs="仿宋_GB2312"/>
          <w:color w:val="FF0000"/>
          <w:kern w:val="0"/>
          <w:sz w:val="32"/>
          <w:szCs w:val="32"/>
          <w:highlight w:val="none"/>
        </w:rPr>
        <w:t>202</w:t>
      </w:r>
      <w:r>
        <w:rPr>
          <w:rFonts w:hint="eastAsia" w:ascii="仿宋_GB2312" w:hAnsi="仿宋_GB2312" w:eastAsia="仿宋_GB2312" w:cs="仿宋_GB2312"/>
          <w:color w:val="FF0000"/>
          <w:kern w:val="0"/>
          <w:sz w:val="32"/>
          <w:szCs w:val="32"/>
          <w:highlight w:val="none"/>
          <w:lang w:val="en-US" w:eastAsia="zh-CN"/>
        </w:rPr>
        <w:t>4</w:t>
      </w:r>
      <w:r>
        <w:rPr>
          <w:rFonts w:hint="eastAsia" w:ascii="仿宋_GB2312" w:hAnsi="仿宋_GB2312" w:eastAsia="仿宋_GB2312" w:cs="仿宋_GB2312"/>
          <w:color w:val="FF0000"/>
          <w:kern w:val="0"/>
          <w:sz w:val="32"/>
          <w:szCs w:val="32"/>
          <w:highlight w:val="none"/>
        </w:rPr>
        <w:t>年，</w:t>
      </w:r>
      <w:r>
        <w:rPr>
          <w:rFonts w:hint="eastAsia" w:ascii="仿宋_GB2312" w:hAnsi="仿宋_GB2312" w:eastAsia="仿宋_GB2312" w:cs="仿宋_GB2312"/>
          <w:color w:val="FF0000"/>
          <w:kern w:val="0"/>
          <w:sz w:val="32"/>
          <w:szCs w:val="32"/>
          <w:highlight w:val="none"/>
          <w:lang w:val="en-US" w:eastAsia="zh-CN"/>
        </w:rPr>
        <w:t>本部门</w:t>
      </w:r>
      <w:r>
        <w:rPr>
          <w:rFonts w:hint="eastAsia" w:ascii="仿宋_GB2312" w:hAnsi="仿宋_GB2312" w:eastAsia="仿宋_GB2312" w:cs="仿宋_GB2312"/>
          <w:color w:val="FF0000"/>
          <w:kern w:val="0"/>
          <w:sz w:val="32"/>
          <w:szCs w:val="32"/>
          <w:highlight w:val="none"/>
        </w:rPr>
        <w:t>预算绩效管理</w:t>
      </w:r>
      <w:r>
        <w:rPr>
          <w:rFonts w:hint="eastAsia" w:ascii="仿宋_GB2312" w:hAnsi="仿宋_GB2312" w:eastAsia="仿宋_GB2312" w:cs="仿宋_GB2312"/>
          <w:color w:val="FF0000"/>
          <w:kern w:val="0"/>
          <w:sz w:val="32"/>
          <w:szCs w:val="32"/>
          <w:highlight w:val="none"/>
          <w:lang w:val="en-US" w:eastAsia="zh-CN"/>
        </w:rPr>
        <w:t>整体预算绩效目标1个，涉及金额211.51万元；当年</w:t>
      </w:r>
      <w:r>
        <w:rPr>
          <w:rFonts w:hint="eastAsia" w:ascii="仿宋_GB2312" w:hAnsi="仿宋_GB2312" w:eastAsia="仿宋_GB2312" w:cs="仿宋_GB2312"/>
          <w:color w:val="FF0000"/>
          <w:kern w:val="0"/>
          <w:sz w:val="32"/>
          <w:szCs w:val="32"/>
          <w:highlight w:val="none"/>
          <w:lang w:val="en-US" w:eastAsia="zh-Hans"/>
        </w:rPr>
        <w:t>财政拨款</w:t>
      </w:r>
      <w:r>
        <w:rPr>
          <w:rFonts w:hint="eastAsia" w:ascii="仿宋_GB2312" w:hAnsi="仿宋_GB2312" w:eastAsia="仿宋_GB2312" w:cs="仿宋_GB2312"/>
          <w:color w:val="FF0000"/>
          <w:kern w:val="0"/>
          <w:sz w:val="32"/>
          <w:szCs w:val="32"/>
          <w:highlight w:val="none"/>
        </w:rPr>
        <w:t>项目</w:t>
      </w:r>
      <w:r>
        <w:rPr>
          <w:rFonts w:hint="eastAsia" w:ascii="仿宋_GB2312" w:hAnsi="仿宋_GB2312" w:eastAsia="仿宋_GB2312" w:cs="仿宋_GB2312"/>
          <w:color w:val="FF0000"/>
          <w:kern w:val="0"/>
          <w:sz w:val="32"/>
          <w:szCs w:val="32"/>
          <w:highlight w:val="none"/>
          <w:lang w:val="en-US" w:eastAsia="zh-CN"/>
        </w:rPr>
        <w:t>3</w:t>
      </w:r>
      <w:r>
        <w:rPr>
          <w:rFonts w:hint="eastAsia" w:ascii="仿宋_GB2312" w:hAnsi="仿宋_GB2312" w:eastAsia="仿宋_GB2312" w:cs="仿宋_GB2312"/>
          <w:color w:val="FF0000"/>
          <w:kern w:val="0"/>
          <w:sz w:val="32"/>
          <w:szCs w:val="32"/>
          <w:highlight w:val="none"/>
        </w:rPr>
        <w:t>个，</w:t>
      </w:r>
      <w:r>
        <w:rPr>
          <w:rFonts w:hint="eastAsia" w:ascii="仿宋_GB2312" w:hAnsi="仿宋_GB2312" w:eastAsia="仿宋_GB2312" w:cs="仿宋_GB2312"/>
          <w:color w:val="FF0000"/>
          <w:kern w:val="0"/>
          <w:sz w:val="32"/>
          <w:szCs w:val="32"/>
          <w:highlight w:val="none"/>
          <w:lang w:val="en-US" w:eastAsia="zh-CN"/>
        </w:rPr>
        <w:t>涉及预算金额122.02万元；当年</w:t>
      </w:r>
      <w:r>
        <w:rPr>
          <w:rFonts w:hint="eastAsia" w:ascii="仿宋_GB2312" w:hAnsi="仿宋_GB2312" w:eastAsia="仿宋_GB2312" w:cs="仿宋_GB2312"/>
          <w:color w:val="FF0000"/>
          <w:kern w:val="0"/>
          <w:sz w:val="32"/>
          <w:szCs w:val="32"/>
          <w:highlight w:val="none"/>
          <w:lang w:val="en-US" w:eastAsia="zh-Hans"/>
        </w:rPr>
        <w:t>非财政拨款项目</w:t>
      </w:r>
      <w:r>
        <w:rPr>
          <w:rFonts w:hint="eastAsia" w:ascii="仿宋_GB2312" w:hAnsi="仿宋_GB2312" w:eastAsia="仿宋_GB2312" w:cs="仿宋_GB2312"/>
          <w:color w:val="FF0000"/>
          <w:kern w:val="0"/>
          <w:sz w:val="32"/>
          <w:szCs w:val="32"/>
          <w:highlight w:val="none"/>
          <w:lang w:val="en-US" w:eastAsia="zh-CN"/>
        </w:rPr>
        <w:t>0</w:t>
      </w:r>
      <w:r>
        <w:rPr>
          <w:rFonts w:hint="eastAsia" w:ascii="仿宋_GB2312" w:hAnsi="仿宋_GB2312" w:eastAsia="仿宋_GB2312" w:cs="仿宋_GB2312"/>
          <w:color w:val="FF0000"/>
          <w:kern w:val="0"/>
          <w:sz w:val="32"/>
          <w:szCs w:val="32"/>
          <w:highlight w:val="none"/>
          <w:lang w:val="en-US" w:eastAsia="zh-Hans"/>
        </w:rPr>
        <w:t>个，</w:t>
      </w:r>
      <w:r>
        <w:rPr>
          <w:rFonts w:hint="eastAsia" w:ascii="仿宋_GB2312" w:hAnsi="仿宋_GB2312" w:eastAsia="仿宋_GB2312" w:cs="仿宋_GB2312"/>
          <w:color w:val="FF0000"/>
          <w:kern w:val="0"/>
          <w:sz w:val="32"/>
          <w:szCs w:val="32"/>
          <w:highlight w:val="none"/>
        </w:rPr>
        <w:t>涉及预算金额</w:t>
      </w:r>
      <w:r>
        <w:rPr>
          <w:rFonts w:hint="eastAsia" w:ascii="仿宋_GB2312" w:hAnsi="仿宋_GB2312" w:eastAsia="仿宋_GB2312" w:cs="仿宋_GB2312"/>
          <w:color w:val="FF0000"/>
          <w:kern w:val="0"/>
          <w:sz w:val="32"/>
          <w:szCs w:val="32"/>
          <w:highlight w:val="none"/>
          <w:lang w:val="en-US" w:eastAsia="zh-CN"/>
        </w:rPr>
        <w:t>0</w:t>
      </w:r>
      <w:r>
        <w:rPr>
          <w:rFonts w:hint="eastAsia" w:ascii="仿宋_GB2312" w:hAnsi="仿宋_GB2312" w:eastAsia="仿宋_GB2312" w:cs="仿宋_GB2312"/>
          <w:color w:val="FF0000"/>
          <w:kern w:val="0"/>
          <w:sz w:val="32"/>
          <w:szCs w:val="32"/>
          <w:highlight w:val="none"/>
        </w:rPr>
        <w:t>万元。具体情况见下表：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strike/>
          <w:dstrike w:val="0"/>
          <w:color w:val="auto"/>
          <w:kern w:val="0"/>
          <w:sz w:val="32"/>
          <w:szCs w:val="32"/>
          <w:highlight w:val="none"/>
        </w:rPr>
      </w:pPr>
    </w:p>
    <w:tbl>
      <w:tblPr>
        <w:tblStyle w:val="5"/>
        <w:tblpPr w:leftFromText="180" w:rightFromText="180" w:vertAnchor="text" w:horzAnchor="page" w:tblpX="1418" w:tblpY="-12570"/>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r>
              <w:rPr>
                <w:rFonts w:hint="eastAsia" w:ascii="仿宋_GB2312" w:hAnsi="宋体" w:eastAsia="仿宋_GB2312" w:cs="仿宋_GB2312"/>
                <w:b/>
                <w:color w:val="auto"/>
                <w:kern w:val="0"/>
                <w:sz w:val="32"/>
                <w:szCs w:val="32"/>
                <w:highlight w:val="none"/>
                <w:lang w:val="en-US" w:eastAsia="zh-CN" w:bidi="ar"/>
              </w:rPr>
              <w:t>呼图壁县殡葬管理所整体绩效目标表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r>
              <w:rPr>
                <w:rFonts w:hint="eastAsia" w:ascii="宋体" w:hAnsi="宋体" w:eastAsia="宋体" w:cs="宋体"/>
                <w:i w:val="0"/>
                <w:iCs w:val="0"/>
                <w:color w:val="auto"/>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呼图壁县殡葬管理所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赵涛</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both"/>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18167783422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本单位本年计划保障殡葬设施设备维修维护保养大于等于1次，保障殡葬特种车辆维修保养大于等于1次，保障运行经费支出大于等于70%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上级</w:t>
            </w:r>
            <w:r>
              <w:rPr>
                <w:rFonts w:hint="eastAsia" w:ascii="宋体" w:hAnsi="宋体" w:eastAsia="宋体" w:cs="宋体"/>
                <w:i w:val="0"/>
                <w:iCs w:val="0"/>
                <w:color w:val="auto"/>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本级</w:t>
            </w:r>
            <w:r>
              <w:rPr>
                <w:rFonts w:hint="eastAsia" w:ascii="宋体" w:hAnsi="宋体" w:eastAsia="宋体" w:cs="宋体"/>
                <w:i w:val="0"/>
                <w:iCs w:val="0"/>
                <w:color w:val="auto"/>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209.46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殡葬设施设备维护保养</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rPr>
              <w:t>≧</w:t>
            </w:r>
            <w:r>
              <w:rPr>
                <w:rFonts w:hint="eastAsia" w:ascii="宋体" w:hAnsi="宋体" w:cs="宋体"/>
                <w:i w:val="0"/>
                <w:iCs w:val="0"/>
                <w:color w:val="auto"/>
                <w:sz w:val="20"/>
                <w:szCs w:val="20"/>
                <w:highlight w:val="none"/>
                <w:u w:val="none"/>
                <w:lang w:val="en-US" w:eastAsia="zh-CN"/>
              </w:rPr>
              <w:t>1次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殡葬管理所2024工作计划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367"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cs="宋体"/>
                <w:i w:val="0"/>
                <w:iCs w:val="0"/>
                <w:color w:val="auto"/>
                <w:sz w:val="20"/>
                <w:szCs w:val="20"/>
                <w:highlight w:val="none"/>
                <w:u w:val="none"/>
                <w:lang w:val="en-US" w:eastAsia="zh-CN"/>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殡葬车辆维修保养</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w:t>
            </w:r>
            <w:r>
              <w:rPr>
                <w:rFonts w:hint="eastAsia" w:ascii="宋体" w:hAnsi="宋体" w:cs="宋体"/>
                <w:i w:val="0"/>
                <w:iCs w:val="0"/>
                <w:color w:val="auto"/>
                <w:sz w:val="20"/>
                <w:szCs w:val="20"/>
                <w:highlight w:val="none"/>
                <w:u w:val="none"/>
                <w:lang w:val="en-US" w:eastAsia="zh-CN"/>
              </w:rPr>
              <w:t>1次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殡葬管理所2024工作计划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367" w:type="dxa"/>
            <w:tcBorders>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运行经费支出</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auto"/>
                <w:sz w:val="20"/>
                <w:szCs w:val="20"/>
                <w:highlight w:val="none"/>
                <w:u w:val="none"/>
                <w:lang w:val="en-US"/>
              </w:rPr>
            </w:pPr>
            <w:r>
              <w:rPr>
                <w:rFonts w:hint="eastAsia" w:ascii="宋体" w:hAnsi="宋体" w:eastAsia="宋体" w:cs="宋体"/>
                <w:i w:val="0"/>
                <w:iCs w:val="0"/>
                <w:color w:val="auto"/>
                <w:sz w:val="20"/>
                <w:szCs w:val="20"/>
                <w:highlight w:val="none"/>
                <w:u w:val="none"/>
              </w:rPr>
              <w:t>≧</w:t>
            </w:r>
            <w:r>
              <w:rPr>
                <w:rFonts w:hint="eastAsia" w:ascii="宋体" w:hAnsi="宋体" w:cs="宋体"/>
                <w:i w:val="0"/>
                <w:iCs w:val="0"/>
                <w:color w:val="auto"/>
                <w:sz w:val="20"/>
                <w:szCs w:val="20"/>
                <w:highlight w:val="none"/>
                <w:u w:val="none"/>
                <w:lang w:val="en-US" w:eastAsia="zh-CN"/>
              </w:rPr>
              <w:t>70%</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殡葬管理所2024工作计划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4"/>
                <w:szCs w:val="24"/>
                <w:highlight w:val="none"/>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color w:val="auto"/>
          <w:kern w:val="0"/>
          <w:sz w:val="32"/>
          <w:szCs w:val="32"/>
          <w:highlight w:val="none"/>
        </w:rPr>
      </w:pPr>
    </w:p>
    <w:tbl>
      <w:tblPr>
        <w:tblStyle w:val="5"/>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887"/>
        <w:gridCol w:w="875"/>
        <w:gridCol w:w="986"/>
        <w:gridCol w:w="8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仿宋_GB2312" w:hAnsi="宋体" w:eastAsia="仿宋_GB2312" w:cs="仿宋_GB2312"/>
                <w:b/>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4</w:t>
            </w:r>
            <w:r>
              <w:rPr>
                <w:rFonts w:hint="eastAsia" w:ascii="宋体" w:hAnsi="宋体" w:eastAsia="宋体" w:cs="宋体"/>
                <w:color w:val="auto"/>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呼图壁县殡葬管理所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殡葬管理所运行费</w:t>
            </w:r>
          </w:p>
        </w:tc>
        <w:tc>
          <w:tcPr>
            <w:tcW w:w="176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186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赵涛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96</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88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96</w:t>
            </w:r>
          </w:p>
        </w:tc>
        <w:tc>
          <w:tcPr>
            <w:tcW w:w="8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186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72"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保障殡仪馆正常运行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88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8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9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8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保障运行单位数量</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=1个</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7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98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6"/>
                <w:szCs w:val="16"/>
                <w:highlight w:val="none"/>
                <w:u w:val="none"/>
                <w:lang w:val="en-US" w:eastAsia="zh-CN"/>
              </w:rPr>
              <w:t>按照完成比例赋分</w:t>
            </w:r>
          </w:p>
        </w:tc>
        <w:tc>
          <w:tcPr>
            <w:tcW w:w="878"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6"/>
                <w:szCs w:val="16"/>
                <w:highlight w:val="none"/>
                <w:u w:val="none"/>
                <w:lang w:val="en-US" w:eastAsia="zh-CN"/>
              </w:rPr>
            </w:pPr>
            <w:r>
              <w:rPr>
                <w:rFonts w:hint="eastAsia" w:ascii="宋体" w:hAnsi="宋体" w:cs="宋体"/>
                <w:i w:val="0"/>
                <w:iCs w:val="0"/>
                <w:color w:val="auto"/>
                <w:sz w:val="16"/>
                <w:szCs w:val="16"/>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电费支出保障</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10</w:t>
            </w:r>
          </w:p>
        </w:tc>
        <w:tc>
          <w:tcPr>
            <w:tcW w:w="98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按照完成比例赋分</w:t>
            </w:r>
          </w:p>
        </w:tc>
        <w:tc>
          <w:tcPr>
            <w:tcW w:w="87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水费支出保障</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10</w:t>
            </w:r>
          </w:p>
        </w:tc>
        <w:tc>
          <w:tcPr>
            <w:tcW w:w="98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按照完成比例赋分</w:t>
            </w:r>
          </w:p>
        </w:tc>
        <w:tc>
          <w:tcPr>
            <w:tcW w:w="87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油费支出保障</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10</w:t>
            </w:r>
          </w:p>
        </w:tc>
        <w:tc>
          <w:tcPr>
            <w:tcW w:w="98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按照完成比例赋分</w:t>
            </w:r>
          </w:p>
        </w:tc>
        <w:tc>
          <w:tcPr>
            <w:tcW w:w="87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保障办公经费支出</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6"/>
                <w:szCs w:val="16"/>
                <w:highlight w:val="none"/>
                <w:u w:val="none"/>
              </w:rPr>
              <w:t>≦</w:t>
            </w:r>
            <w:r>
              <w:rPr>
                <w:rFonts w:hint="eastAsia" w:ascii="宋体" w:hAnsi="宋体" w:cs="宋体"/>
                <w:i w:val="0"/>
                <w:iCs w:val="0"/>
                <w:color w:val="auto"/>
                <w:sz w:val="16"/>
                <w:szCs w:val="16"/>
                <w:highlight w:val="none"/>
                <w:u w:val="none"/>
                <w:lang w:val="en-US" w:eastAsia="zh-CN"/>
              </w:rPr>
              <w:t>6万元</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预算支出标准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7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20</w:t>
            </w:r>
          </w:p>
        </w:tc>
        <w:tc>
          <w:tcPr>
            <w:tcW w:w="98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按照完成比例赋分</w:t>
            </w:r>
          </w:p>
        </w:tc>
        <w:tc>
          <w:tcPr>
            <w:tcW w:w="87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提高殡葬业务服务质量</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有效提高</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7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20</w:t>
            </w:r>
          </w:p>
        </w:tc>
        <w:tc>
          <w:tcPr>
            <w:tcW w:w="986"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按评判等级赋分</w:t>
            </w:r>
          </w:p>
        </w:tc>
        <w:tc>
          <w:tcPr>
            <w:tcW w:w="87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群众满意度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rPr>
              <w:t>≧</w:t>
            </w:r>
            <w:r>
              <w:rPr>
                <w:rFonts w:hint="eastAsia" w:ascii="宋体" w:hAnsi="宋体" w:cs="宋体"/>
                <w:i w:val="0"/>
                <w:iCs w:val="0"/>
                <w:color w:val="auto"/>
                <w:sz w:val="18"/>
                <w:szCs w:val="18"/>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7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986"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满意度赋分</w:t>
            </w:r>
          </w:p>
        </w:tc>
        <w:tc>
          <w:tcPr>
            <w:tcW w:w="87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color w:val="auto"/>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color w:val="auto"/>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color w:val="auto"/>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color w:val="auto"/>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color w:val="auto"/>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color w:val="auto"/>
          <w:kern w:val="0"/>
          <w:sz w:val="32"/>
          <w:szCs w:val="32"/>
          <w:highlight w:val="none"/>
          <w:lang w:val="en-US" w:eastAsia="zh-CN"/>
        </w:rPr>
      </w:pPr>
    </w:p>
    <w:tbl>
      <w:tblPr>
        <w:tblStyle w:val="5"/>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仿宋_GB2312" w:hAnsi="宋体" w:eastAsia="仿宋_GB2312" w:cs="仿宋_GB2312"/>
                <w:b/>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4</w:t>
            </w:r>
            <w:r>
              <w:rPr>
                <w:rFonts w:hint="eastAsia" w:ascii="宋体" w:hAnsi="宋体" w:eastAsia="宋体" w:cs="宋体"/>
                <w:color w:val="auto"/>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呼图壁县殡葬管理所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第六批自治区预算内投资-第二殡仪馆建设项目前期费</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赵涛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25</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25</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满足人民群众对殡葬方面的需求和精神需要，促进殡葬事业高质量发展和绿色发展。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计划修建数量</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=1座</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设计图可使用率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项目执行及时率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rPr>
              <w:t>≧</w:t>
            </w:r>
            <w:r>
              <w:rPr>
                <w:rFonts w:hint="eastAsia" w:ascii="宋体" w:hAnsi="宋体" w:cs="宋体"/>
                <w:i w:val="0"/>
                <w:iCs w:val="0"/>
                <w:color w:val="auto"/>
                <w:sz w:val="18"/>
                <w:szCs w:val="18"/>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项目投资比例</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w:t>
            </w:r>
            <w:r>
              <w:rPr>
                <w:rFonts w:hint="eastAsia" w:ascii="宋体" w:hAnsi="宋体" w:cs="宋体"/>
                <w:i w:val="0"/>
                <w:iCs w:val="0"/>
                <w:color w:val="auto"/>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项目成本控制率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lang w:val="en-US" w:eastAsia="zh-CN"/>
              </w:rPr>
              <w:t>≦</w:t>
            </w:r>
            <w:r>
              <w:rPr>
                <w:rFonts w:hint="eastAsia" w:ascii="宋体" w:hAnsi="宋体" w:cs="宋体"/>
                <w:i w:val="0"/>
                <w:iCs w:val="0"/>
                <w:color w:val="auto"/>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91" w:hRule="atLeast"/>
        </w:trPr>
        <w:tc>
          <w:tcPr>
            <w:tcW w:w="811"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200" w:type="dxa"/>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307" w:type="dxa"/>
            <w:tcBorders>
              <w:top w:val="single" w:color="000000" w:sz="4" w:space="0"/>
              <w:left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有效满足群众丧葬需求</w:t>
            </w:r>
          </w:p>
        </w:tc>
        <w:tc>
          <w:tcPr>
            <w:tcW w:w="861" w:type="dxa"/>
            <w:tcBorders>
              <w:top w:val="single" w:color="000000" w:sz="4" w:space="0"/>
              <w:left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逐步提升</w:t>
            </w:r>
          </w:p>
        </w:tc>
        <w:tc>
          <w:tcPr>
            <w:tcW w:w="1455" w:type="dxa"/>
            <w:tcBorders>
              <w:top w:val="single" w:color="000000" w:sz="4" w:space="0"/>
              <w:left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1081" w:type="dxa"/>
            <w:tcBorders>
              <w:top w:val="single" w:color="000000" w:sz="4" w:space="0"/>
              <w:left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14" w:type="dxa"/>
            <w:tcBorders>
              <w:top w:val="single" w:color="000000" w:sz="4" w:space="0"/>
              <w:left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群众满意度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w:t>
            </w:r>
            <w:r>
              <w:rPr>
                <w:rFonts w:hint="eastAsia" w:ascii="宋体" w:hAnsi="宋体" w:cs="宋体"/>
                <w:i w:val="0"/>
                <w:iCs w:val="0"/>
                <w:color w:val="auto"/>
                <w:sz w:val="18"/>
                <w:szCs w:val="18"/>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黑体" w:hAnsi="黑体" w:eastAsia="黑体"/>
          <w:color w:val="auto"/>
          <w:kern w:val="0"/>
          <w:sz w:val="32"/>
          <w:szCs w:val="32"/>
          <w:highlight w:val="none"/>
        </w:rPr>
      </w:pPr>
    </w:p>
    <w:tbl>
      <w:tblPr>
        <w:tblStyle w:val="5"/>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887"/>
        <w:gridCol w:w="902"/>
        <w:gridCol w:w="923"/>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仿宋_GB2312" w:hAnsi="宋体" w:eastAsia="仿宋_GB2312" w:cs="仿宋_GB2312"/>
                <w:b/>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4</w:t>
            </w:r>
            <w:r>
              <w:rPr>
                <w:rFonts w:hint="eastAsia" w:ascii="宋体" w:hAnsi="宋体" w:eastAsia="宋体" w:cs="宋体"/>
                <w:color w:val="auto"/>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呼图壁县殡葬管理所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殡仪馆配套设施设备项目</w:t>
            </w:r>
          </w:p>
        </w:tc>
        <w:tc>
          <w:tcPr>
            <w:tcW w:w="17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183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赵涛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1.02</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88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1.02</w:t>
            </w:r>
          </w:p>
        </w:tc>
        <w:tc>
          <w:tcPr>
            <w:tcW w:w="9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183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cs="宋体"/>
                <w:i w:val="0"/>
                <w:iCs w:val="0"/>
                <w:color w:val="auto"/>
                <w:sz w:val="18"/>
                <w:szCs w:val="18"/>
                <w:highlight w:val="none"/>
                <w:u w:val="none"/>
                <w:lang w:val="en-US" w:eastAsia="zh-CN"/>
              </w:rPr>
            </w:pPr>
          </w:p>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进一步完善殡葬设施设备，提升殡葬服务质量，为呼图壁县殡葬工作提供保障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88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9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92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殡葬特种车辆维修维护</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rPr>
              <w:t>≧</w:t>
            </w:r>
            <w:r>
              <w:rPr>
                <w:rFonts w:hint="eastAsia" w:ascii="宋体" w:hAnsi="宋体" w:cs="宋体"/>
                <w:i w:val="0"/>
                <w:iCs w:val="0"/>
                <w:color w:val="auto"/>
                <w:sz w:val="18"/>
                <w:szCs w:val="18"/>
                <w:highlight w:val="none"/>
                <w:u w:val="none"/>
                <w:lang w:val="en-US" w:eastAsia="zh-CN"/>
              </w:rPr>
              <w:t>1辆</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02"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923"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6"/>
                <w:szCs w:val="16"/>
                <w:highlight w:val="none"/>
                <w:u w:val="none"/>
                <w:lang w:val="en-US" w:eastAsia="zh-CN"/>
              </w:rPr>
              <w:t>按照完成比列赋分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6"/>
                <w:szCs w:val="16"/>
                <w:highlight w:val="none"/>
                <w:u w:val="none"/>
                <w:lang w:val="en-US" w:eastAsia="zh-CN"/>
              </w:rPr>
            </w:pPr>
            <w:r>
              <w:rPr>
                <w:rFonts w:hint="eastAsia" w:ascii="宋体" w:hAnsi="宋体" w:cs="宋体"/>
                <w:i w:val="0"/>
                <w:iCs w:val="0"/>
                <w:color w:val="auto"/>
                <w:sz w:val="16"/>
                <w:szCs w:val="16"/>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遗体冷藏柜维修维护</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rPr>
              <w:t>≧</w:t>
            </w:r>
            <w:r>
              <w:rPr>
                <w:rFonts w:hint="eastAsia" w:ascii="宋体" w:hAnsi="宋体" w:cs="宋体"/>
                <w:i w:val="0"/>
                <w:iCs w:val="0"/>
                <w:color w:val="auto"/>
                <w:sz w:val="18"/>
                <w:szCs w:val="18"/>
                <w:highlight w:val="none"/>
                <w:u w:val="none"/>
                <w:lang w:val="en-US" w:eastAsia="zh-CN"/>
              </w:rPr>
              <w:t>10个</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02"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92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auto"/>
                <w:sz w:val="16"/>
                <w:szCs w:val="16"/>
                <w:highlight w:val="none"/>
                <w:u w:val="none"/>
                <w:lang w:val="en-US" w:eastAsia="zh-CN"/>
              </w:rPr>
            </w:pPr>
            <w:r>
              <w:rPr>
                <w:rFonts w:hint="eastAsia" w:ascii="宋体" w:hAnsi="宋体" w:cs="宋体"/>
                <w:i w:val="0"/>
                <w:iCs w:val="0"/>
                <w:color w:val="auto"/>
                <w:sz w:val="16"/>
                <w:szCs w:val="16"/>
                <w:highlight w:val="none"/>
                <w:u w:val="none"/>
                <w:lang w:val="en-US" w:eastAsia="zh-CN"/>
              </w:rPr>
              <w:t>按照完成比列赋分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auto"/>
                <w:sz w:val="16"/>
                <w:szCs w:val="16"/>
                <w:highlight w:val="none"/>
                <w:u w:val="none"/>
                <w:lang w:val="en-US" w:eastAsia="zh-CN"/>
              </w:rPr>
            </w:pPr>
            <w:r>
              <w:rPr>
                <w:rFonts w:hint="eastAsia" w:ascii="宋体" w:hAnsi="宋体" w:cs="宋体"/>
                <w:i w:val="0"/>
                <w:iCs w:val="0"/>
                <w:color w:val="auto"/>
                <w:sz w:val="16"/>
                <w:szCs w:val="16"/>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维修维护合格率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02"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92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按照完成比列赋分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6"/>
                <w:szCs w:val="16"/>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维修维护及时率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rPr>
              <w:t>≦</w:t>
            </w:r>
            <w:r>
              <w:rPr>
                <w:rFonts w:hint="eastAsia" w:ascii="宋体" w:hAnsi="宋体" w:cs="宋体"/>
                <w:i w:val="0"/>
                <w:iCs w:val="0"/>
                <w:color w:val="auto"/>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02"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92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按照完成比列赋分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6"/>
                <w:szCs w:val="16"/>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项目投资比例</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w:t>
            </w:r>
            <w:r>
              <w:rPr>
                <w:rFonts w:hint="eastAsia" w:ascii="宋体" w:hAnsi="宋体" w:cs="宋体"/>
                <w:i w:val="0"/>
                <w:iCs w:val="0"/>
                <w:color w:val="auto"/>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02"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20</w:t>
            </w:r>
          </w:p>
        </w:tc>
        <w:tc>
          <w:tcPr>
            <w:tcW w:w="92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按照完成比列赋分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6"/>
                <w:szCs w:val="16"/>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殡葬收入提升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rPr>
              <w:t>≧</w:t>
            </w:r>
            <w:r>
              <w:rPr>
                <w:rFonts w:hint="eastAsia" w:ascii="宋体" w:hAnsi="宋体" w:cs="宋体"/>
                <w:i w:val="0"/>
                <w:iCs w:val="0"/>
                <w:color w:val="auto"/>
                <w:sz w:val="18"/>
                <w:szCs w:val="18"/>
                <w:highlight w:val="none"/>
                <w:u w:val="none"/>
                <w:lang w:val="en-US" w:eastAsia="zh-CN"/>
              </w:rPr>
              <w:t>2%</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0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7</w:t>
            </w:r>
          </w:p>
        </w:tc>
        <w:tc>
          <w:tcPr>
            <w:tcW w:w="92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按照完成比列赋分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6"/>
                <w:szCs w:val="16"/>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提升殡葬服务水</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显著提升</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0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7</w:t>
            </w:r>
          </w:p>
        </w:tc>
        <w:tc>
          <w:tcPr>
            <w:tcW w:w="92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按照完成比列赋分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6"/>
                <w:szCs w:val="16"/>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改善殡葬服务工作环境</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显著提升</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0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6</w:t>
            </w:r>
          </w:p>
        </w:tc>
        <w:tc>
          <w:tcPr>
            <w:tcW w:w="92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按照完成比列赋分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6"/>
                <w:szCs w:val="16"/>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群众满意度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rPr>
              <w:t>≧</w:t>
            </w:r>
            <w:r>
              <w:rPr>
                <w:rFonts w:hint="eastAsia" w:ascii="宋体" w:hAnsi="宋体" w:cs="宋体"/>
                <w:i w:val="0"/>
                <w:iCs w:val="0"/>
                <w:color w:val="auto"/>
                <w:sz w:val="18"/>
                <w:szCs w:val="18"/>
                <w:highlight w:val="none"/>
                <w:u w:val="none"/>
                <w:lang w:val="en-US" w:eastAsia="zh-CN"/>
              </w:rPr>
              <w:t>95%</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02"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923"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6"/>
                <w:szCs w:val="16"/>
                <w:highlight w:val="none"/>
                <w:u w:val="none"/>
                <w:lang w:val="en-US" w:eastAsia="zh-CN"/>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color w:val="auto"/>
          <w:kern w:val="0"/>
          <w:sz w:val="32"/>
          <w:szCs w:val="32"/>
          <w:highlight w:val="none"/>
        </w:rPr>
      </w:pPr>
      <w:r>
        <w:rPr>
          <w:rFonts w:hint="eastAsia" w:ascii="楷体_GB2312" w:hAnsi="宋体" w:eastAsia="楷体_GB2312" w:cs="宋体"/>
          <w:b/>
          <w:color w:val="auto"/>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color w:val="auto"/>
          <w:kern w:val="0"/>
          <w:sz w:val="32"/>
          <w:szCs w:val="32"/>
          <w:highlight w:val="none"/>
          <w:lang w:val="en-US" w:eastAsia="zh-CN"/>
        </w:rPr>
      </w:pPr>
      <w:r>
        <w:rPr>
          <w:rFonts w:hint="eastAsia" w:ascii="楷体_GB2312" w:hAnsi="宋体" w:eastAsia="楷体_GB2312" w:cs="宋体"/>
          <w:b/>
          <w:color w:val="auto"/>
          <w:kern w:val="0"/>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color w:val="auto"/>
          <w:sz w:val="32"/>
          <w:szCs w:val="32"/>
          <w:highlight w:val="none"/>
        </w:rPr>
        <w:t>指</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rPr>
        <w:t>因公出国（境）费、公务用车购置及运行维护费和公务接待费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其中</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因公出国（境）费反映</w:t>
      </w:r>
      <w:r>
        <w:rPr>
          <w:rFonts w:hint="eastAsia" w:ascii="仿宋_GB2312" w:eastAsia="仿宋_GB2312"/>
          <w:color w:val="auto"/>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color w:val="auto"/>
          <w:sz w:val="32"/>
          <w:szCs w:val="32"/>
          <w:highlight w:val="none"/>
        </w:rPr>
        <w:t>公务用车运行维护费反映单</w:t>
      </w:r>
      <w:r>
        <w:rPr>
          <w:rFonts w:hint="eastAsia" w:ascii="仿宋_GB2312" w:eastAsia="仿宋_GB2312"/>
          <w:color w:val="auto"/>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color w:val="auto"/>
          <w:sz w:val="32"/>
          <w:szCs w:val="32"/>
          <w:highlight w:val="none"/>
        </w:rPr>
        <w:t>；公务接待费反映</w:t>
      </w:r>
      <w:r>
        <w:rPr>
          <w:rFonts w:hint="eastAsia" w:ascii="仿宋_GB2312" w:eastAsia="仿宋_GB2312"/>
          <w:color w:val="auto"/>
          <w:sz w:val="32"/>
          <w:szCs w:val="32"/>
          <w:highlight w:val="none"/>
          <w:lang w:val="en-US" w:eastAsia="zh-CN"/>
        </w:rPr>
        <w:t>机关和参公事业单位</w:t>
      </w:r>
      <w:r>
        <w:rPr>
          <w:rFonts w:hint="eastAsia" w:ascii="仿宋_GB2312" w:eastAsia="仿宋_GB2312"/>
          <w:color w:val="auto"/>
          <w:sz w:val="32"/>
          <w:szCs w:val="32"/>
          <w:highlight w:val="none"/>
        </w:rPr>
        <w:t>按规定开支的各类公务接待（含外宾接待）</w:t>
      </w:r>
      <w:r>
        <w:rPr>
          <w:rFonts w:hint="eastAsia" w:ascii="仿宋_GB2312" w:eastAsia="仿宋_GB2312"/>
          <w:color w:val="auto"/>
          <w:sz w:val="32"/>
          <w:szCs w:val="32"/>
          <w:highlight w:val="none"/>
          <w:lang w:val="en-US"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呼图壁县殡葬管理所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2024</w:t>
      </w:r>
      <w:r>
        <w:rPr>
          <w:rFonts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2</w:t>
      </w:r>
      <w:r>
        <w:rPr>
          <w:rFonts w:ascii="仿宋_GB2312" w:hAnsi="宋体" w:eastAsia="仿宋_GB2312" w:cs="宋体"/>
          <w:color w:val="auto"/>
          <w:kern w:val="0"/>
          <w:sz w:val="32"/>
          <w:szCs w:val="32"/>
          <w:highlight w:val="none"/>
        </w:rPr>
        <w:t>月</w:t>
      </w:r>
      <w:r>
        <w:rPr>
          <w:rFonts w:hint="eastAsia" w:ascii="仿宋_GB2312" w:hAnsi="宋体" w:eastAsia="仿宋_GB2312" w:cs="宋体"/>
          <w:color w:val="auto"/>
          <w:kern w:val="0"/>
          <w:sz w:val="32"/>
          <w:szCs w:val="32"/>
          <w:highlight w:val="none"/>
          <w:lang w:val="en-US" w:eastAsia="zh-CN"/>
        </w:rPr>
        <w:t>22</w:t>
      </w:r>
      <w:r>
        <w:rPr>
          <w:rFonts w:ascii="仿宋_GB2312" w:hAnsi="宋体" w:eastAsia="仿宋_GB2312" w:cs="宋体"/>
          <w:color w:val="auto"/>
          <w:kern w:val="0"/>
          <w:sz w:val="32"/>
          <w:szCs w:val="32"/>
          <w:highlight w:val="none"/>
        </w:rPr>
        <w:t>日</w:t>
      </w:r>
    </w:p>
    <w:p>
      <w:pPr>
        <w:rPr>
          <w:color w:val="auto"/>
          <w:highlight w:val="none"/>
        </w:rPr>
      </w:pPr>
    </w:p>
    <w:p>
      <w:pPr>
        <w:rPr>
          <w:color w:val="auto"/>
          <w:highlight w:val="none"/>
        </w:rPr>
      </w:pPr>
    </w:p>
    <w:p>
      <w:pPr>
        <w:rPr>
          <w:color w:val="auto"/>
          <w:highlight w:val="none"/>
        </w:rPr>
      </w:pPr>
    </w:p>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1CE1EB"/>
    <w:multiLevelType w:val="singleLevel"/>
    <w:tmpl w:val="4E1CE1EB"/>
    <w:lvl w:ilvl="0" w:tentative="0">
      <w:start w:val="1"/>
      <w:numFmt w:val="chineseCounting"/>
      <w:suff w:val="nothing"/>
      <w:lvlText w:val="%1、"/>
      <w:lvlJc w:val="left"/>
      <w:rPr>
        <w:rFonts w:hint="eastAsia"/>
      </w:rPr>
    </w:lvl>
  </w:abstractNum>
  <w:abstractNum w:abstractNumId="1">
    <w:nsid w:val="5A3AC420"/>
    <w:multiLevelType w:val="singleLevel"/>
    <w:tmpl w:val="5A3AC420"/>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4B335E"/>
    <w:rsid w:val="06DE7CB4"/>
    <w:rsid w:val="0BA030E9"/>
    <w:rsid w:val="0C0A0859"/>
    <w:rsid w:val="0D23540D"/>
    <w:rsid w:val="109F4346"/>
    <w:rsid w:val="174B335E"/>
    <w:rsid w:val="1A87323F"/>
    <w:rsid w:val="1DDE502B"/>
    <w:rsid w:val="2D6755A1"/>
    <w:rsid w:val="302D2555"/>
    <w:rsid w:val="327A61D5"/>
    <w:rsid w:val="33F8712E"/>
    <w:rsid w:val="41020549"/>
    <w:rsid w:val="464825A9"/>
    <w:rsid w:val="4B7C23A7"/>
    <w:rsid w:val="4EE44469"/>
    <w:rsid w:val="54330858"/>
    <w:rsid w:val="54405D8D"/>
    <w:rsid w:val="58AF2BEC"/>
    <w:rsid w:val="59B07FB1"/>
    <w:rsid w:val="5B2C547A"/>
    <w:rsid w:val="63BD19D1"/>
    <w:rsid w:val="67422739"/>
    <w:rsid w:val="743B4D3E"/>
    <w:rsid w:val="755C66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114</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2024-03-07T04:28:00Z</dcterms:created>
  <dc:creator>rabbit</dc:creator>
  <cp:lastModifiedBy>Administrator</cp:lastModifiedBy>
  <dcterms:modified xsi:type="dcterms:W3CDTF">2024-07-15T05:27:33Z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FA50143399A446FFB5D3059ED7E5A2B0</vt:lpwstr>
  </property>
</Properties>
</file>